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7B0" w14:textId="77777777" w:rsidR="0061499B" w:rsidRPr="00226CC6" w:rsidRDefault="00DF591E" w:rsidP="0061499B">
      <w:pPr>
        <w:jc w:val="center"/>
        <w:rPr>
          <w:sz w:val="28"/>
          <w:szCs w:val="28"/>
        </w:rPr>
      </w:pPr>
      <w:bookmarkStart w:id="0" w:name="_GoBack"/>
      <w:bookmarkEnd w:id="0"/>
      <w:r w:rsidRPr="0038624C">
        <w:rPr>
          <w:sz w:val="28"/>
          <w:szCs w:val="28"/>
        </w:rPr>
        <w:t>Statement of Project Objectives</w:t>
      </w:r>
    </w:p>
    <w:p w14:paraId="2F126A7A" w14:textId="77777777" w:rsidR="0061499B" w:rsidRPr="00226CC6" w:rsidRDefault="0061499B" w:rsidP="0061499B">
      <w:pPr>
        <w:jc w:val="center"/>
        <w:rPr>
          <w:color w:val="0070C0"/>
          <w:sz w:val="28"/>
          <w:szCs w:val="28"/>
        </w:rPr>
      </w:pPr>
      <w:r w:rsidRPr="00226CC6">
        <w:rPr>
          <w:color w:val="0070C0"/>
          <w:sz w:val="28"/>
          <w:szCs w:val="28"/>
        </w:rPr>
        <w:t>[</w:t>
      </w:r>
      <w:r w:rsidR="0072265D" w:rsidRPr="00226CC6">
        <w:rPr>
          <w:color w:val="0070C0"/>
          <w:sz w:val="28"/>
          <w:szCs w:val="28"/>
        </w:rPr>
        <w:t>Insert Prime Recipient Name</w:t>
      </w:r>
      <w:r w:rsidRPr="00226CC6">
        <w:rPr>
          <w:color w:val="0070C0"/>
          <w:sz w:val="28"/>
          <w:szCs w:val="28"/>
        </w:rPr>
        <w:t>]</w:t>
      </w:r>
    </w:p>
    <w:p w14:paraId="708BA55B" w14:textId="77777777" w:rsidR="0061499B" w:rsidRPr="00226CC6" w:rsidRDefault="0072265D" w:rsidP="0061499B">
      <w:pPr>
        <w:jc w:val="center"/>
        <w:rPr>
          <w:color w:val="0070C0"/>
          <w:sz w:val="28"/>
          <w:szCs w:val="28"/>
        </w:rPr>
      </w:pPr>
      <w:r w:rsidRPr="00226CC6">
        <w:rPr>
          <w:color w:val="0070C0"/>
          <w:sz w:val="28"/>
          <w:szCs w:val="28"/>
        </w:rPr>
        <w:t>[Insert Award Title</w:t>
      </w:r>
      <w:r w:rsidR="0061499B" w:rsidRPr="00226CC6">
        <w:rPr>
          <w:color w:val="0070C0"/>
          <w:sz w:val="28"/>
          <w:szCs w:val="28"/>
        </w:rPr>
        <w:t>]</w:t>
      </w:r>
    </w:p>
    <w:p w14:paraId="3853887F" w14:textId="77777777" w:rsidR="00BE687A" w:rsidRPr="00226CC6" w:rsidRDefault="00BE687A" w:rsidP="00BE687A">
      <w:pPr>
        <w:pStyle w:val="PlainText"/>
        <w:rPr>
          <w:rFonts w:asciiTheme="minorHAnsi" w:hAnsiTheme="minorHAnsi"/>
        </w:rPr>
      </w:pPr>
    </w:p>
    <w:p w14:paraId="77A85476" w14:textId="77777777" w:rsidR="00585169" w:rsidRPr="00100A89" w:rsidRDefault="00100A89" w:rsidP="00585169">
      <w:pPr>
        <w:rPr>
          <w:b/>
          <w:color w:val="0070C0"/>
          <w:u w:val="single"/>
        </w:rPr>
      </w:pPr>
      <w:r>
        <w:rPr>
          <w:b/>
          <w:color w:val="0070C0"/>
          <w:u w:val="single"/>
        </w:rPr>
        <w:t xml:space="preserve">The instructional </w:t>
      </w:r>
      <w:r w:rsidR="0081254F" w:rsidRPr="00100A89">
        <w:rPr>
          <w:b/>
          <w:color w:val="0070C0"/>
          <w:u w:val="single"/>
        </w:rPr>
        <w:t xml:space="preserve">blue </w:t>
      </w:r>
      <w:r w:rsidR="00585169" w:rsidRPr="00100A89">
        <w:rPr>
          <w:b/>
          <w:color w:val="0070C0"/>
          <w:u w:val="single"/>
        </w:rPr>
        <w:t>text should be removed in the final version of the SOPO</w:t>
      </w:r>
    </w:p>
    <w:p w14:paraId="0FBD3B64" w14:textId="77777777" w:rsidR="00585169" w:rsidRPr="00226CC6" w:rsidRDefault="00585169" w:rsidP="00BE687A">
      <w:pPr>
        <w:pStyle w:val="PlainText"/>
        <w:rPr>
          <w:rFonts w:asciiTheme="minorHAnsi" w:hAnsiTheme="minorHAnsi"/>
        </w:rPr>
      </w:pPr>
    </w:p>
    <w:p w14:paraId="699C1D01" w14:textId="77777777" w:rsidR="00DF591E" w:rsidRPr="00CC1EE7" w:rsidRDefault="00BE687A" w:rsidP="00BE687A">
      <w:pPr>
        <w:pStyle w:val="PlainText"/>
        <w:rPr>
          <w:rFonts w:asciiTheme="minorHAnsi" w:hAnsiTheme="minorHAnsi"/>
        </w:rPr>
      </w:pPr>
      <w:r w:rsidRPr="00CC1EE7">
        <w:rPr>
          <w:rFonts w:asciiTheme="minorHAnsi" w:hAnsiTheme="minorHAnsi"/>
        </w:rPr>
        <w:t>This Statement of Project Objectives</w:t>
      </w:r>
      <w:r w:rsidR="003E59D6" w:rsidRPr="00CC1EE7">
        <w:rPr>
          <w:rFonts w:asciiTheme="minorHAnsi" w:hAnsiTheme="minorHAnsi"/>
        </w:rPr>
        <w:t xml:space="preserve"> (SOPO)</w:t>
      </w:r>
      <w:r w:rsidRPr="00CC1EE7">
        <w:rPr>
          <w:rFonts w:asciiTheme="minorHAnsi" w:hAnsiTheme="minorHAnsi"/>
        </w:rPr>
        <w:t xml:space="preserve"> establishes Go/No Go decision points</w:t>
      </w:r>
      <w:r w:rsidR="00874CF0">
        <w:rPr>
          <w:rFonts w:asciiTheme="minorHAnsi" w:hAnsiTheme="minorHAnsi"/>
        </w:rPr>
        <w:t xml:space="preserve"> between Budget Periods</w:t>
      </w:r>
      <w:r w:rsidRPr="00CC1EE7">
        <w:rPr>
          <w:rFonts w:asciiTheme="minorHAnsi" w:hAnsiTheme="minorHAnsi"/>
        </w:rPr>
        <w:t xml:space="preserve">.  For each Go/No Go decision point, EERE must determine whether the Recipient has fully and satisfactorily completed the work described </w:t>
      </w:r>
      <w:r w:rsidR="00BC262C" w:rsidRPr="00CC1EE7">
        <w:rPr>
          <w:rFonts w:asciiTheme="minorHAnsi" w:hAnsiTheme="minorHAnsi"/>
        </w:rPr>
        <w:t>in this SOPO</w:t>
      </w:r>
      <w:r w:rsidRPr="00CC1EE7">
        <w:rPr>
          <w:rFonts w:asciiTheme="minorHAnsi" w:hAnsiTheme="minorHAnsi"/>
        </w:rPr>
        <w:t>.  As a result of a Go/No Go review, in its discretion, EERE may take one of the following actions:</w:t>
      </w:r>
    </w:p>
    <w:p w14:paraId="2511999D" w14:textId="77777777" w:rsidR="00BE687A" w:rsidRPr="00CC1EE7" w:rsidRDefault="00BE687A" w:rsidP="00BE687A">
      <w:pPr>
        <w:pStyle w:val="PlainText"/>
        <w:rPr>
          <w:rFonts w:asciiTheme="minorHAnsi" w:hAnsiTheme="minorHAnsi"/>
        </w:rPr>
      </w:pPr>
      <w:r w:rsidRPr="00CC1EE7">
        <w:rPr>
          <w:rFonts w:asciiTheme="minorHAnsi" w:hAnsiTheme="minorHAnsi"/>
        </w:rPr>
        <w:t xml:space="preserve">  </w:t>
      </w:r>
    </w:p>
    <w:p w14:paraId="2F3EE53E" w14:textId="77777777" w:rsidR="00DF591E" w:rsidRPr="00CC1EE7" w:rsidRDefault="00BE687A" w:rsidP="00226CC6">
      <w:pPr>
        <w:pStyle w:val="PlainText"/>
        <w:numPr>
          <w:ilvl w:val="0"/>
          <w:numId w:val="16"/>
        </w:numPr>
        <w:rPr>
          <w:rFonts w:asciiTheme="minorHAnsi" w:hAnsiTheme="minorHAnsi"/>
        </w:rPr>
      </w:pPr>
      <w:r w:rsidRPr="00CC1EE7">
        <w:rPr>
          <w:rFonts w:asciiTheme="minorHAnsi" w:hAnsiTheme="minorHAnsi"/>
        </w:rPr>
        <w:t>Authorize Federal funding for the next budget period for the Project;</w:t>
      </w:r>
    </w:p>
    <w:p w14:paraId="1AED40C3" w14:textId="77777777" w:rsidR="00DF591E" w:rsidRPr="00CC1EE7" w:rsidRDefault="00BE687A" w:rsidP="00226CC6">
      <w:pPr>
        <w:pStyle w:val="PlainText"/>
        <w:numPr>
          <w:ilvl w:val="0"/>
          <w:numId w:val="16"/>
        </w:numPr>
        <w:rPr>
          <w:rFonts w:asciiTheme="minorHAnsi" w:hAnsiTheme="minorHAnsi"/>
        </w:rPr>
      </w:pPr>
      <w:r w:rsidRPr="00CC1EE7">
        <w:rPr>
          <w:rFonts w:asciiTheme="minorHAnsi" w:hAnsiTheme="minorHAnsi"/>
        </w:rPr>
        <w:t xml:space="preserve">Recommend redirection of work under the Project; </w:t>
      </w:r>
    </w:p>
    <w:p w14:paraId="1ADA2606" w14:textId="77777777" w:rsidR="00DF591E" w:rsidRPr="00CC1EE7" w:rsidRDefault="00BE687A" w:rsidP="00226CC6">
      <w:pPr>
        <w:pStyle w:val="PlainText"/>
        <w:numPr>
          <w:ilvl w:val="0"/>
          <w:numId w:val="16"/>
        </w:numPr>
        <w:rPr>
          <w:rFonts w:asciiTheme="minorHAnsi" w:hAnsiTheme="minorHAnsi"/>
        </w:rPr>
      </w:pPr>
      <w:r w:rsidRPr="00CC1EE7">
        <w:rPr>
          <w:rFonts w:asciiTheme="minorHAnsi" w:hAnsiTheme="minorHAnsi"/>
        </w:rPr>
        <w:t>Place a hold on the Federal funding for the Project, pending further supporting data; or</w:t>
      </w:r>
    </w:p>
    <w:p w14:paraId="3DF17BF6" w14:textId="77777777" w:rsidR="00BE687A" w:rsidRPr="00CC1EE7" w:rsidRDefault="00BE687A" w:rsidP="00226CC6">
      <w:pPr>
        <w:pStyle w:val="PlainText"/>
        <w:numPr>
          <w:ilvl w:val="0"/>
          <w:numId w:val="16"/>
        </w:numPr>
        <w:rPr>
          <w:rFonts w:asciiTheme="minorHAnsi" w:hAnsiTheme="minorHAnsi"/>
        </w:rPr>
      </w:pPr>
      <w:r w:rsidRPr="00CC1EE7">
        <w:rPr>
          <w:rFonts w:asciiTheme="minorHAnsi" w:hAnsiTheme="minorHAnsi"/>
        </w:rPr>
        <w:t>Discontinue providing Federal funding for the Project beyond the current budget period as the result of insufficient progress, change in strategic direction, or lack of available funding.</w:t>
      </w:r>
    </w:p>
    <w:p w14:paraId="742D66A7" w14:textId="77777777" w:rsidR="00BE687A" w:rsidRPr="00CC1EE7" w:rsidRDefault="00BE687A" w:rsidP="00BE687A">
      <w:pPr>
        <w:pStyle w:val="PlainText"/>
        <w:rPr>
          <w:rFonts w:asciiTheme="minorHAnsi" w:hAnsiTheme="minorHAnsi"/>
        </w:rPr>
      </w:pPr>
    </w:p>
    <w:p w14:paraId="0CC81027" w14:textId="77777777" w:rsidR="00B77C40" w:rsidRPr="00CC1EE7" w:rsidRDefault="00DF591E" w:rsidP="00B77C40">
      <w:pPr>
        <w:pStyle w:val="PlainText"/>
        <w:rPr>
          <w:rFonts w:asciiTheme="minorHAnsi" w:hAnsiTheme="minorHAnsi"/>
        </w:rPr>
      </w:pPr>
      <w:r w:rsidRPr="00CC1EE7">
        <w:rPr>
          <w:rFonts w:asciiTheme="minorHAnsi" w:hAnsiTheme="minorHAnsi"/>
        </w:rPr>
        <w:t xml:space="preserve">During the Go/No Go review, EERE will consider whether the recipient has achieved the Milestones associated with the Budget Period under review, listed in Section E. Multiple Milestones are usually associated with a Go/No Go decision point and are described in the Milestone Summary Table in Section E. </w:t>
      </w:r>
      <w:r w:rsidR="00BE687A" w:rsidRPr="00CC1EE7">
        <w:rPr>
          <w:rFonts w:asciiTheme="minorHAnsi" w:hAnsiTheme="minorHAnsi"/>
        </w:rPr>
        <w:t xml:space="preserve">In general, projects that successfully meet all their Milestones will have a high probability of </w:t>
      </w:r>
      <w:r w:rsidRPr="00CC1EE7">
        <w:rPr>
          <w:rFonts w:asciiTheme="minorHAnsi" w:hAnsiTheme="minorHAnsi"/>
        </w:rPr>
        <w:t xml:space="preserve">meeting their </w:t>
      </w:r>
      <w:r w:rsidR="00BE687A" w:rsidRPr="00CC1EE7">
        <w:rPr>
          <w:rFonts w:asciiTheme="minorHAnsi" w:hAnsiTheme="minorHAnsi"/>
        </w:rPr>
        <w:t>“Go</w:t>
      </w:r>
      <w:r w:rsidRPr="00CC1EE7">
        <w:rPr>
          <w:rFonts w:asciiTheme="minorHAnsi" w:hAnsiTheme="minorHAnsi"/>
        </w:rPr>
        <w:t>/No Go</w:t>
      </w:r>
      <w:r w:rsidR="00BE687A" w:rsidRPr="00CC1EE7">
        <w:rPr>
          <w:rFonts w:asciiTheme="minorHAnsi" w:hAnsiTheme="minorHAnsi"/>
        </w:rPr>
        <w:t xml:space="preserve">” decision </w:t>
      </w:r>
      <w:r w:rsidRPr="00CC1EE7">
        <w:rPr>
          <w:rFonts w:asciiTheme="minorHAnsi" w:hAnsiTheme="minorHAnsi"/>
        </w:rPr>
        <w:t xml:space="preserve">points and receiving a “Go” decision </w:t>
      </w:r>
      <w:r w:rsidR="00BE687A" w:rsidRPr="00CC1EE7">
        <w:rPr>
          <w:rFonts w:asciiTheme="minorHAnsi" w:hAnsiTheme="minorHAnsi"/>
        </w:rPr>
        <w:t xml:space="preserve">following the continuation review, with exceptions for lack of appropriations and/or changes in market conditions that make the work no longer relevant.  Continuation decisions for those projects that do not meet all their Milestones will be based upon DOE’s assessment of the quality of the work, the ability of the technology to meet market relevant performance metrics, the importance of the proposed work in enabling the achievement of DOE’s targets, and the ability of the team to complete the future proposed work, amongst other criteria. </w:t>
      </w:r>
      <w:r w:rsidR="003E59D6" w:rsidRPr="00CC1EE7">
        <w:rPr>
          <w:rFonts w:asciiTheme="minorHAnsi" w:hAnsiTheme="minorHAnsi"/>
        </w:rPr>
        <w:t xml:space="preserve"> DOE in its sole discretion, will determine whether the recipient has met any Milestone. </w:t>
      </w:r>
      <w:r w:rsidR="00B77C40" w:rsidRPr="00CC1EE7">
        <w:rPr>
          <w:rFonts w:asciiTheme="minorHAnsi" w:hAnsiTheme="minorHAnsi"/>
        </w:rPr>
        <w:t xml:space="preserve">Please refer to the Award Special Terms and Conditions, specifically the Federal Involvement and the Continuation Application and Funding Terms, for information on Go/No Go decision points </w:t>
      </w:r>
      <w:r w:rsidR="006214EC" w:rsidRPr="00CC1EE7">
        <w:rPr>
          <w:rFonts w:asciiTheme="minorHAnsi" w:hAnsiTheme="minorHAnsi"/>
        </w:rPr>
        <w:t>and Continuations</w:t>
      </w:r>
      <w:r w:rsidR="00B77C40" w:rsidRPr="00CC1EE7">
        <w:rPr>
          <w:rFonts w:asciiTheme="minorHAnsi" w:hAnsiTheme="minorHAnsi"/>
        </w:rPr>
        <w:t>.</w:t>
      </w:r>
    </w:p>
    <w:p w14:paraId="722068D4" w14:textId="77777777" w:rsidR="00185818" w:rsidRPr="00226CC6" w:rsidRDefault="00185818" w:rsidP="002355BA">
      <w:pPr>
        <w:jc w:val="both"/>
        <w:rPr>
          <w:color w:val="C00000"/>
        </w:rPr>
      </w:pPr>
    </w:p>
    <w:p w14:paraId="606283DA" w14:textId="77777777" w:rsidR="005074DC" w:rsidRPr="00100A89" w:rsidRDefault="005074DC" w:rsidP="00226CC6">
      <w:pPr>
        <w:rPr>
          <w:color w:val="0070C0"/>
        </w:rPr>
      </w:pPr>
      <w:r w:rsidRPr="00100A89">
        <w:rPr>
          <w:color w:val="0070C0"/>
        </w:rPr>
        <w:t xml:space="preserve">All of the information to be included in the SOPO must be consistent with the Application and any Negotiation Strategies upon which the award was selected. Specifically, the SOPO must be consistent with the Work Plan portion of the Technical Volume submitted by the Applicant.  The SOPO should accurately define </w:t>
      </w:r>
      <w:r w:rsidRPr="00100A89">
        <w:rPr>
          <w:b/>
          <w:color w:val="0070C0"/>
          <w:u w:val="single"/>
        </w:rPr>
        <w:t>what</w:t>
      </w:r>
      <w:r w:rsidRPr="00100A89">
        <w:rPr>
          <w:color w:val="0070C0"/>
        </w:rPr>
        <w:t xml:space="preserve"> work is to be done and the expected progress to be achieved.</w:t>
      </w:r>
      <w:r w:rsidR="005938E5" w:rsidRPr="00100A89">
        <w:rPr>
          <w:color w:val="0070C0"/>
        </w:rPr>
        <w:t xml:space="preserve"> </w:t>
      </w:r>
      <w:r w:rsidRPr="00100A89">
        <w:rPr>
          <w:color w:val="0070C0"/>
        </w:rPr>
        <w:t xml:space="preserve">The following items should </w:t>
      </w:r>
      <w:r w:rsidR="005938E5" w:rsidRPr="00100A89">
        <w:rPr>
          <w:b/>
          <w:color w:val="0070C0"/>
          <w:u w:val="single"/>
        </w:rPr>
        <w:t>not</w:t>
      </w:r>
      <w:r w:rsidR="005938E5" w:rsidRPr="00100A89">
        <w:rPr>
          <w:color w:val="0070C0"/>
        </w:rPr>
        <w:t xml:space="preserve"> </w:t>
      </w:r>
      <w:r w:rsidRPr="00100A89">
        <w:rPr>
          <w:color w:val="0070C0"/>
        </w:rPr>
        <w:t>be included in the SOPO:</w:t>
      </w:r>
    </w:p>
    <w:p w14:paraId="3E691F55" w14:textId="77777777" w:rsidR="005938E5" w:rsidRPr="00100A89" w:rsidRDefault="005938E5" w:rsidP="002355BA">
      <w:pPr>
        <w:jc w:val="both"/>
        <w:rPr>
          <w:color w:val="0070C0"/>
        </w:rPr>
      </w:pPr>
    </w:p>
    <w:p w14:paraId="61E3D140" w14:textId="77777777" w:rsidR="005074DC" w:rsidRPr="00100A89" w:rsidRDefault="005074DC" w:rsidP="002355BA">
      <w:pPr>
        <w:numPr>
          <w:ilvl w:val="0"/>
          <w:numId w:val="6"/>
        </w:numPr>
        <w:jc w:val="both"/>
        <w:rPr>
          <w:color w:val="0070C0"/>
        </w:rPr>
      </w:pPr>
      <w:r w:rsidRPr="00100A89">
        <w:rPr>
          <w:color w:val="0070C0"/>
        </w:rPr>
        <w:t>Dollar amounts.</w:t>
      </w:r>
    </w:p>
    <w:p w14:paraId="7BDF6820" w14:textId="77777777" w:rsidR="005074DC" w:rsidRPr="00100A89" w:rsidRDefault="005074DC" w:rsidP="002355BA">
      <w:pPr>
        <w:numPr>
          <w:ilvl w:val="0"/>
          <w:numId w:val="6"/>
        </w:numPr>
        <w:jc w:val="both"/>
        <w:rPr>
          <w:color w:val="0070C0"/>
        </w:rPr>
      </w:pPr>
      <w:r w:rsidRPr="00100A89">
        <w:rPr>
          <w:color w:val="0070C0"/>
        </w:rPr>
        <w:t>Specific dates</w:t>
      </w:r>
      <w:r w:rsidR="00A95A6B" w:rsidRPr="00100A89">
        <w:rPr>
          <w:color w:val="0070C0"/>
        </w:rPr>
        <w:t>.</w:t>
      </w:r>
    </w:p>
    <w:p w14:paraId="44AA98B3" w14:textId="77777777" w:rsidR="005074DC" w:rsidRPr="00100A89" w:rsidRDefault="005074DC" w:rsidP="002355BA">
      <w:pPr>
        <w:numPr>
          <w:ilvl w:val="0"/>
          <w:numId w:val="6"/>
        </w:numPr>
        <w:jc w:val="both"/>
        <w:rPr>
          <w:color w:val="0070C0"/>
        </w:rPr>
      </w:pPr>
      <w:r w:rsidRPr="00100A89">
        <w:rPr>
          <w:color w:val="0070C0"/>
        </w:rPr>
        <w:t>Subcontractors, vendors or individuals by name.  The award is with the prime and, as such, the SOPO should not generally reference the subcontractors.</w:t>
      </w:r>
    </w:p>
    <w:p w14:paraId="5FB0D548" w14:textId="77777777" w:rsidR="006214EC" w:rsidRPr="00100A89" w:rsidRDefault="006214EC" w:rsidP="00226CC6">
      <w:pPr>
        <w:jc w:val="both"/>
        <w:rPr>
          <w:color w:val="0070C0"/>
        </w:rPr>
      </w:pPr>
    </w:p>
    <w:p w14:paraId="1DF30539" w14:textId="77777777" w:rsidR="005938E5" w:rsidRPr="00100A89" w:rsidRDefault="005938E5" w:rsidP="00226CC6">
      <w:pPr>
        <w:rPr>
          <w:color w:val="0070C0"/>
          <w:u w:val="single"/>
        </w:rPr>
      </w:pPr>
    </w:p>
    <w:p w14:paraId="0F1C1BED" w14:textId="77777777" w:rsidR="005938E5" w:rsidRPr="00100A89" w:rsidRDefault="005938E5" w:rsidP="00226CC6">
      <w:pPr>
        <w:rPr>
          <w:color w:val="0070C0"/>
          <w:u w:val="single"/>
        </w:rPr>
      </w:pPr>
    </w:p>
    <w:p w14:paraId="4467F9C3" w14:textId="723A26CA" w:rsidR="004B423F" w:rsidRPr="006E49B1" w:rsidRDefault="009C3FBE" w:rsidP="004B423F">
      <w:pPr>
        <w:rPr>
          <w:color w:val="0070C0"/>
        </w:rPr>
      </w:pPr>
      <w:r>
        <w:rPr>
          <w:color w:val="0070C0"/>
        </w:rPr>
        <w:lastRenderedPageBreak/>
        <w:t>The SOPO should</w:t>
      </w:r>
      <w:r w:rsidR="002A0652">
        <w:rPr>
          <w:color w:val="0070C0"/>
        </w:rPr>
        <w:t xml:space="preserve"> not include trade secrets, </w:t>
      </w:r>
      <w:r>
        <w:rPr>
          <w:color w:val="0070C0"/>
        </w:rPr>
        <w:t>commercial</w:t>
      </w:r>
      <w:r w:rsidR="002A0652">
        <w:rPr>
          <w:color w:val="0070C0"/>
        </w:rPr>
        <w:t>,</w:t>
      </w:r>
      <w:r>
        <w:rPr>
          <w:color w:val="0070C0"/>
        </w:rPr>
        <w:t xml:space="preserve"> or financial information that is privileged or confidential unless such information is necessary to convey an understanding of the project or to comply wi</w:t>
      </w:r>
      <w:r w:rsidR="000E2E10">
        <w:rPr>
          <w:color w:val="0070C0"/>
        </w:rPr>
        <w:t xml:space="preserve">th a </w:t>
      </w:r>
      <w:r w:rsidR="002A0652">
        <w:rPr>
          <w:color w:val="0070C0"/>
        </w:rPr>
        <w:t xml:space="preserve">specific </w:t>
      </w:r>
      <w:r w:rsidR="000E2E10">
        <w:rPr>
          <w:color w:val="0070C0"/>
        </w:rPr>
        <w:t xml:space="preserve">DOE requirement. </w:t>
      </w:r>
      <w:r w:rsidR="0008705D" w:rsidRPr="006E49B1">
        <w:rPr>
          <w:color w:val="0070C0"/>
        </w:rPr>
        <w:t>DOE will protect</w:t>
      </w:r>
      <w:r w:rsidR="00152607" w:rsidRPr="006E49B1">
        <w:rPr>
          <w:color w:val="0070C0"/>
        </w:rPr>
        <w:t xml:space="preserve"> </w:t>
      </w:r>
      <w:r w:rsidR="00D656AE">
        <w:rPr>
          <w:color w:val="0070C0"/>
        </w:rPr>
        <w:t xml:space="preserve">such </w:t>
      </w:r>
      <w:r w:rsidR="00152607" w:rsidRPr="006E49B1">
        <w:rPr>
          <w:color w:val="0070C0"/>
        </w:rPr>
        <w:t>information developed outside the award at private expense</w:t>
      </w:r>
      <w:r w:rsidR="00A059B2">
        <w:rPr>
          <w:color w:val="0070C0"/>
        </w:rPr>
        <w:t>.</w:t>
      </w:r>
      <w:r w:rsidR="005968B4" w:rsidRPr="006E49B1">
        <w:rPr>
          <w:color w:val="0070C0"/>
        </w:rPr>
        <w:t xml:space="preserve"> </w:t>
      </w:r>
      <w:r w:rsidR="000E2E10" w:rsidRPr="006E49B1">
        <w:rPr>
          <w:color w:val="0070C0"/>
        </w:rPr>
        <w:t xml:space="preserve">If it is necessary to include such information, the SOPO must include the </w:t>
      </w:r>
      <w:r w:rsidR="000E2E10">
        <w:rPr>
          <w:color w:val="0070C0"/>
        </w:rPr>
        <w:t xml:space="preserve">following </w:t>
      </w:r>
      <w:r w:rsidR="000B38AA">
        <w:rPr>
          <w:color w:val="0070C0"/>
        </w:rPr>
        <w:t>paragraph:</w:t>
      </w:r>
    </w:p>
    <w:p w14:paraId="63E57D30" w14:textId="77777777" w:rsidR="004B423F" w:rsidRPr="00050962" w:rsidRDefault="00050962" w:rsidP="00050962">
      <w:pPr>
        <w:tabs>
          <w:tab w:val="left" w:pos="2955"/>
        </w:tabs>
      </w:pPr>
      <w:r w:rsidRPr="00050962">
        <w:tab/>
      </w:r>
    </w:p>
    <w:p w14:paraId="760081FC" w14:textId="77777777" w:rsidR="006214EC" w:rsidRPr="005D67CB" w:rsidRDefault="006214EC" w:rsidP="00226CC6">
      <w:pPr>
        <w:rPr>
          <w:u w:val="single"/>
        </w:rPr>
      </w:pPr>
      <w:r w:rsidRPr="005D67CB">
        <w:rPr>
          <w:u w:val="single"/>
        </w:rPr>
        <w:t xml:space="preserve">Notice of Restriction on Disclosure and Use of Data: </w:t>
      </w:r>
    </w:p>
    <w:p w14:paraId="0C87A1CD" w14:textId="77777777" w:rsidR="004B423F" w:rsidRDefault="006214EC" w:rsidP="00226CC6">
      <w:pPr>
        <w:rPr>
          <w:i/>
          <w:color w:val="C00000"/>
        </w:rPr>
      </w:pPr>
      <w:r w:rsidRPr="005D67CB">
        <w:t xml:space="preserve">Pages [list applicable pages]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 </w:t>
      </w:r>
    </w:p>
    <w:p w14:paraId="4A56F5B0" w14:textId="77777777" w:rsidR="002B4F8C" w:rsidRDefault="002B4F8C" w:rsidP="005D67CB">
      <w:pPr>
        <w:rPr>
          <w:color w:val="C00000"/>
        </w:rPr>
      </w:pPr>
    </w:p>
    <w:p w14:paraId="2B477E44" w14:textId="77777777" w:rsidR="0067220E" w:rsidRDefault="004B423F" w:rsidP="00086DCA">
      <w:pPr>
        <w:rPr>
          <w:color w:val="0070C0"/>
        </w:rPr>
      </w:pPr>
      <w:r w:rsidRPr="005D67CB">
        <w:rPr>
          <w:color w:val="0070C0"/>
        </w:rPr>
        <w:t xml:space="preserve">The header and footer of every page that contains </w:t>
      </w:r>
      <w:r w:rsidR="000E2E10">
        <w:rPr>
          <w:color w:val="0070C0"/>
        </w:rPr>
        <w:t xml:space="preserve">such information </w:t>
      </w:r>
      <w:r w:rsidRPr="005D67CB">
        <w:rPr>
          <w:color w:val="0070C0"/>
        </w:rPr>
        <w:t>must be marked as follows: “Contains Confidential, Proprietary, or Privileged Information Exempt from Public Disclosure.” In addition, every line and paragraph containing proprietary, privileged, or trade secret information must be clearly marked with double brackets or highlighting.</w:t>
      </w:r>
    </w:p>
    <w:p w14:paraId="62955EAE" w14:textId="77777777" w:rsidR="0067220E" w:rsidRDefault="0067220E" w:rsidP="00086DCA">
      <w:pPr>
        <w:rPr>
          <w:color w:val="0070C0"/>
        </w:rPr>
      </w:pPr>
    </w:p>
    <w:p w14:paraId="051C2DF8" w14:textId="175E2F13" w:rsidR="00086DCA" w:rsidRPr="006E49B1" w:rsidRDefault="00A5010A" w:rsidP="00086DCA">
      <w:pPr>
        <w:rPr>
          <w:color w:val="0070C0"/>
        </w:rPr>
      </w:pPr>
      <w:r>
        <w:rPr>
          <w:color w:val="0070C0"/>
        </w:rPr>
        <w:t xml:space="preserve">If the document </w:t>
      </w:r>
      <w:r w:rsidRPr="00A5010A">
        <w:rPr>
          <w:b/>
          <w:color w:val="0070C0"/>
        </w:rPr>
        <w:t>does not</w:t>
      </w:r>
      <w:r w:rsidR="00086DCA" w:rsidRPr="006E49B1">
        <w:rPr>
          <w:color w:val="0070C0"/>
        </w:rPr>
        <w:t xml:space="preserve"> contain confidential, proprietary, or privileged information, the SOPO must include the following alternate paragraph:</w:t>
      </w:r>
    </w:p>
    <w:p w14:paraId="251C2C15" w14:textId="77777777" w:rsidR="00086DCA" w:rsidRPr="00050962" w:rsidRDefault="00086DCA" w:rsidP="00086DCA">
      <w:pPr>
        <w:rPr>
          <w:color w:val="C00000"/>
        </w:rPr>
      </w:pPr>
    </w:p>
    <w:p w14:paraId="44D3E2D1" w14:textId="77777777" w:rsidR="00086DCA" w:rsidRPr="006E49B1" w:rsidRDefault="00086DCA" w:rsidP="00086DCA">
      <w:pPr>
        <w:rPr>
          <w:u w:val="single"/>
        </w:rPr>
      </w:pPr>
      <w:r w:rsidRPr="006E49B1">
        <w:rPr>
          <w:u w:val="single"/>
        </w:rPr>
        <w:t xml:space="preserve">Notice of Restriction on Disclosure and Use of Data: </w:t>
      </w:r>
    </w:p>
    <w:p w14:paraId="0FB146D1" w14:textId="77777777" w:rsidR="00086DCA" w:rsidRPr="006E49B1" w:rsidRDefault="00086DCA" w:rsidP="00086DCA">
      <w:pPr>
        <w:rPr>
          <w:i/>
          <w:iCs/>
        </w:rPr>
      </w:pPr>
      <w:r w:rsidRPr="006E49B1">
        <w:t>This document does not contain confidential, proprietary, or privileged information that is exempt from public disclosure.</w:t>
      </w:r>
    </w:p>
    <w:p w14:paraId="1EF68011" w14:textId="77777777" w:rsidR="00086DCA" w:rsidRDefault="00086DCA" w:rsidP="00226CC6">
      <w:pPr>
        <w:rPr>
          <w:color w:val="0070C0"/>
        </w:rPr>
      </w:pPr>
    </w:p>
    <w:p w14:paraId="658BCE24" w14:textId="77777777" w:rsidR="007F1C78" w:rsidRPr="007F1C78" w:rsidRDefault="007F1C78" w:rsidP="007F1C78">
      <w:pPr>
        <w:rPr>
          <w:color w:val="0070C0"/>
        </w:rPr>
      </w:pPr>
      <w:r w:rsidRPr="007F1C78">
        <w:rPr>
          <w:color w:val="0070C0"/>
        </w:rPr>
        <w:t>Notwithstanding any restrictive notice on the SOPO, the intellectual property provisions of the financial assistance agreement govern the rights and protection of data that are used or generated as part of the project.</w:t>
      </w:r>
    </w:p>
    <w:p w14:paraId="719BD23B" w14:textId="77777777" w:rsidR="005074DC" w:rsidRPr="00226CC6" w:rsidRDefault="005074DC" w:rsidP="005D67CB">
      <w:pPr>
        <w:rPr>
          <w:i/>
          <w:color w:val="C00000"/>
        </w:rPr>
      </w:pPr>
    </w:p>
    <w:p w14:paraId="01DD1B45" w14:textId="77777777" w:rsidR="005074DC" w:rsidRPr="00226CC6" w:rsidRDefault="001943EE" w:rsidP="002355BA">
      <w:pPr>
        <w:pStyle w:val="Heading1"/>
        <w:numPr>
          <w:ilvl w:val="0"/>
          <w:numId w:val="7"/>
        </w:numPr>
        <w:ind w:left="360"/>
        <w:jc w:val="both"/>
      </w:pPr>
      <w:r w:rsidRPr="00226CC6">
        <w:t>Project Objectives</w:t>
      </w:r>
    </w:p>
    <w:p w14:paraId="1A6BE708" w14:textId="77777777" w:rsidR="005074DC" w:rsidRPr="00226CC6" w:rsidRDefault="005074DC" w:rsidP="002355BA">
      <w:pPr>
        <w:jc w:val="both"/>
        <w:rPr>
          <w:color w:val="0070C0"/>
        </w:rPr>
      </w:pPr>
      <w:r w:rsidRPr="00226CC6">
        <w:rPr>
          <w:color w:val="0070C0"/>
        </w:rPr>
        <w:t>Provide a clear and concise (high-level) statement of the goals and objectives of the project as well as the expected outcomes.  If the award is to be structured in Budget Periods, include the objective(s) for each Budget Period.</w:t>
      </w:r>
    </w:p>
    <w:p w14:paraId="388AE3E4" w14:textId="77777777" w:rsidR="005074DC" w:rsidRPr="00226CC6" w:rsidRDefault="005074DC" w:rsidP="002355BA">
      <w:pPr>
        <w:jc w:val="both"/>
      </w:pPr>
    </w:p>
    <w:p w14:paraId="43558555" w14:textId="77777777" w:rsidR="005074DC" w:rsidRPr="00226CC6" w:rsidRDefault="001943EE" w:rsidP="002355BA">
      <w:pPr>
        <w:pStyle w:val="Heading1"/>
        <w:numPr>
          <w:ilvl w:val="0"/>
          <w:numId w:val="7"/>
        </w:numPr>
        <w:ind w:left="360"/>
        <w:jc w:val="both"/>
      </w:pPr>
      <w:r w:rsidRPr="00226CC6">
        <w:t>Technical Scope Summary</w:t>
      </w:r>
    </w:p>
    <w:p w14:paraId="42E8F01C" w14:textId="77777777" w:rsidR="00304AA4" w:rsidRPr="00226CC6" w:rsidRDefault="005074DC" w:rsidP="002355BA">
      <w:pPr>
        <w:jc w:val="both"/>
        <w:rPr>
          <w:color w:val="0070C0"/>
        </w:rPr>
      </w:pPr>
      <w:r w:rsidRPr="00226CC6">
        <w:rPr>
          <w:color w:val="0070C0"/>
        </w:rPr>
        <w:t>Provide a summary description of the overall work scope and approach to achieve the objective(s).  The work scope description needs to be divided by Budget Period</w:t>
      </w:r>
      <w:r w:rsidR="00304AA4" w:rsidRPr="00226CC6">
        <w:rPr>
          <w:color w:val="0070C0"/>
        </w:rPr>
        <w:t xml:space="preserve"> that are separated by discrete</w:t>
      </w:r>
      <w:r w:rsidRPr="00226CC6">
        <w:rPr>
          <w:color w:val="0070C0"/>
        </w:rPr>
        <w:t xml:space="preserve"> </w:t>
      </w:r>
      <w:r w:rsidR="00874CF0">
        <w:rPr>
          <w:color w:val="0070C0"/>
        </w:rPr>
        <w:t xml:space="preserve">go/no-go </w:t>
      </w:r>
      <w:r w:rsidRPr="00226CC6">
        <w:rPr>
          <w:color w:val="0070C0"/>
        </w:rPr>
        <w:t xml:space="preserve">decision points.  </w:t>
      </w:r>
      <w:r w:rsidR="001D5C7F" w:rsidRPr="00226CC6">
        <w:rPr>
          <w:color w:val="0070C0"/>
        </w:rPr>
        <w:t>It</w:t>
      </w:r>
      <w:r w:rsidRPr="00226CC6">
        <w:rPr>
          <w:color w:val="0070C0"/>
        </w:rPr>
        <w:t xml:space="preserve"> should describe </w:t>
      </w:r>
      <w:r w:rsidR="001D5C7F" w:rsidRPr="00226CC6">
        <w:rPr>
          <w:color w:val="0070C0"/>
        </w:rPr>
        <w:t>all</w:t>
      </w:r>
      <w:r w:rsidRPr="00226CC6">
        <w:rPr>
          <w:color w:val="0070C0"/>
        </w:rPr>
        <w:t xml:space="preserve"> </w:t>
      </w:r>
      <w:r w:rsidR="001D5C7F" w:rsidRPr="00226CC6">
        <w:rPr>
          <w:color w:val="0070C0"/>
        </w:rPr>
        <w:t>activities</w:t>
      </w:r>
      <w:r w:rsidR="009F4D38" w:rsidRPr="00226CC6">
        <w:rPr>
          <w:color w:val="0070C0"/>
        </w:rPr>
        <w:t xml:space="preserve"> of</w:t>
      </w:r>
      <w:r w:rsidRPr="00226CC6">
        <w:rPr>
          <w:color w:val="0070C0"/>
        </w:rPr>
        <w:t xml:space="preserve"> each </w:t>
      </w:r>
      <w:r w:rsidR="00304AA4" w:rsidRPr="00226CC6">
        <w:rPr>
          <w:color w:val="0070C0"/>
        </w:rPr>
        <w:t>budget</w:t>
      </w:r>
      <w:r w:rsidRPr="00226CC6">
        <w:rPr>
          <w:color w:val="0070C0"/>
        </w:rPr>
        <w:t xml:space="preserve"> period</w:t>
      </w:r>
      <w:r w:rsidR="001D5C7F" w:rsidRPr="00226CC6">
        <w:rPr>
          <w:color w:val="0070C0"/>
        </w:rPr>
        <w:t xml:space="preserve"> as well as identifying common threads spanning all budget periods, such as uncertainty reduction, cost/value analysis, and stakeholder engagement</w:t>
      </w:r>
      <w:r w:rsidRPr="00226CC6">
        <w:rPr>
          <w:color w:val="0070C0"/>
        </w:rPr>
        <w:t>.</w:t>
      </w:r>
      <w:r w:rsidR="00304AA4" w:rsidRPr="00226CC6">
        <w:rPr>
          <w:color w:val="0070C0"/>
        </w:rPr>
        <w:t xml:space="preserve"> </w:t>
      </w:r>
    </w:p>
    <w:p w14:paraId="7D504107" w14:textId="77777777" w:rsidR="00B77C40" w:rsidRPr="00226CC6" w:rsidRDefault="00B77C40" w:rsidP="002355BA">
      <w:pPr>
        <w:jc w:val="both"/>
        <w:rPr>
          <w:color w:val="C00000"/>
        </w:rPr>
      </w:pPr>
    </w:p>
    <w:p w14:paraId="0ADBA81A" w14:textId="77777777" w:rsidR="005074DC" w:rsidRPr="00226CC6" w:rsidRDefault="001943EE" w:rsidP="002355BA">
      <w:pPr>
        <w:pStyle w:val="Heading1"/>
        <w:numPr>
          <w:ilvl w:val="0"/>
          <w:numId w:val="7"/>
        </w:numPr>
        <w:ind w:left="360"/>
        <w:jc w:val="both"/>
      </w:pPr>
      <w:r w:rsidRPr="00226CC6">
        <w:lastRenderedPageBreak/>
        <w:t xml:space="preserve">Tasks </w:t>
      </w:r>
      <w:r w:rsidR="008923F8" w:rsidRPr="00226CC6">
        <w:t>t</w:t>
      </w:r>
      <w:r w:rsidRPr="00226CC6">
        <w:t xml:space="preserve">o </w:t>
      </w:r>
      <w:r w:rsidR="00100A89">
        <w:t>B</w:t>
      </w:r>
      <w:r w:rsidRPr="00226CC6">
        <w:t>e Performed</w:t>
      </w:r>
    </w:p>
    <w:p w14:paraId="27CC98FB" w14:textId="77777777" w:rsidR="000447CA" w:rsidRDefault="005074DC" w:rsidP="002355BA">
      <w:pPr>
        <w:jc w:val="both"/>
        <w:rPr>
          <w:color w:val="0070C0"/>
        </w:rPr>
      </w:pPr>
      <w:r w:rsidRPr="00226CC6">
        <w:rPr>
          <w:color w:val="0070C0"/>
        </w:rPr>
        <w:t xml:space="preserve">The section should describe the specific activities to be conducted over the life of the project.  This section provides a summary of the planned approach to this project and should clearly articulate what work must be accomplished to execute the project scope and thus meet the established project objectives.  </w:t>
      </w:r>
    </w:p>
    <w:p w14:paraId="6F159D1D" w14:textId="77777777" w:rsidR="000447CA" w:rsidRDefault="000447CA" w:rsidP="002355BA">
      <w:pPr>
        <w:jc w:val="both"/>
        <w:rPr>
          <w:color w:val="0070C0"/>
        </w:rPr>
      </w:pPr>
    </w:p>
    <w:p w14:paraId="2B3949C3" w14:textId="77777777" w:rsidR="0096645A" w:rsidRPr="00226CC6" w:rsidRDefault="005074DC" w:rsidP="002355BA">
      <w:pPr>
        <w:jc w:val="both"/>
        <w:rPr>
          <w:i/>
          <w:color w:val="0070C0"/>
        </w:rPr>
      </w:pPr>
      <w:r w:rsidRPr="00226CC6">
        <w:rPr>
          <w:color w:val="0070C0"/>
        </w:rPr>
        <w:t>The task descriptions should be structured with a hierarchy of performance period separated by at least one project-wide go/no-go decision point a</w:t>
      </w:r>
      <w:r w:rsidR="009041A6" w:rsidRPr="00226CC6">
        <w:rPr>
          <w:color w:val="0070C0"/>
        </w:rPr>
        <w:t>t the end of each budget period</w:t>
      </w:r>
      <w:r w:rsidRPr="00226CC6">
        <w:rPr>
          <w:color w:val="0070C0"/>
        </w:rPr>
        <w:t xml:space="preserve">. In other words, tasks should be organized in a logical sequence and should be divided into the budget periods of the project, as appropriate. Each task and subtask is to have a unique number and title. Each task </w:t>
      </w:r>
      <w:r w:rsidR="009041A6" w:rsidRPr="00226CC6">
        <w:rPr>
          <w:color w:val="0070C0"/>
        </w:rPr>
        <w:t xml:space="preserve">and subtask </w:t>
      </w:r>
      <w:r w:rsidRPr="00226CC6">
        <w:rPr>
          <w:color w:val="0070C0"/>
        </w:rPr>
        <w:t xml:space="preserve">is to have a task summary that describes the objectives, </w:t>
      </w:r>
      <w:r w:rsidR="00A95A6B" w:rsidRPr="00226CC6">
        <w:rPr>
          <w:color w:val="0070C0"/>
        </w:rPr>
        <w:t>and what work is to be accomplished</w:t>
      </w:r>
      <w:r w:rsidR="009041A6" w:rsidRPr="00226CC6">
        <w:rPr>
          <w:color w:val="0070C0"/>
        </w:rPr>
        <w:t>.</w:t>
      </w:r>
      <w:r w:rsidR="000447CA" w:rsidRPr="00226CC6">
        <w:rPr>
          <w:color w:val="0070C0"/>
        </w:rPr>
        <w:t xml:space="preserve"> </w:t>
      </w:r>
      <w:r w:rsidR="00EB04E0" w:rsidRPr="00226CC6">
        <w:rPr>
          <w:color w:val="0070C0"/>
        </w:rPr>
        <w:t>A</w:t>
      </w:r>
      <w:r w:rsidR="0096645A" w:rsidRPr="00226CC6">
        <w:rPr>
          <w:color w:val="0070C0"/>
        </w:rPr>
        <w:t>n example of a typical task structure</w:t>
      </w:r>
      <w:r w:rsidR="00EB04E0" w:rsidRPr="00226CC6">
        <w:rPr>
          <w:color w:val="0070C0"/>
        </w:rPr>
        <w:t xml:space="preserve"> is provided below</w:t>
      </w:r>
      <w:r w:rsidR="0096645A" w:rsidRPr="00226CC6">
        <w:rPr>
          <w:color w:val="0070C0"/>
        </w:rPr>
        <w:t>. While the example illustrates two Budget Periods and three tasks, the specific project work scope</w:t>
      </w:r>
      <w:r w:rsidR="00EB04E0" w:rsidRPr="00226CC6">
        <w:rPr>
          <w:color w:val="0070C0"/>
        </w:rPr>
        <w:t xml:space="preserve"> and award structure</w:t>
      </w:r>
      <w:r w:rsidR="0096645A" w:rsidRPr="00226CC6">
        <w:rPr>
          <w:color w:val="0070C0"/>
        </w:rPr>
        <w:t xml:space="preserve"> will dictate the appropriate number of budget periods, tasks and subtasks</w:t>
      </w:r>
      <w:r w:rsidR="0096645A" w:rsidRPr="00226CC6">
        <w:rPr>
          <w:i/>
          <w:color w:val="0070C0"/>
        </w:rPr>
        <w:t>:</w:t>
      </w:r>
    </w:p>
    <w:p w14:paraId="4FCF8ACA" w14:textId="77777777" w:rsidR="0096645A" w:rsidRPr="00226CC6" w:rsidRDefault="0096645A" w:rsidP="002355BA">
      <w:pPr>
        <w:jc w:val="both"/>
      </w:pPr>
    </w:p>
    <w:p w14:paraId="680C5620" w14:textId="77777777" w:rsidR="0096645A" w:rsidRPr="00226CC6" w:rsidRDefault="0096645A" w:rsidP="002355BA">
      <w:pPr>
        <w:jc w:val="both"/>
        <w:rPr>
          <w:i/>
          <w:color w:val="C00000"/>
        </w:rPr>
      </w:pPr>
      <w:r w:rsidRPr="00226CC6">
        <w:rPr>
          <w:b/>
          <w:sz w:val="28"/>
        </w:rPr>
        <w:t>B</w:t>
      </w:r>
      <w:r w:rsidR="009701CB" w:rsidRPr="00226CC6">
        <w:rPr>
          <w:b/>
          <w:sz w:val="28"/>
        </w:rPr>
        <w:t>udget Period 1</w:t>
      </w:r>
      <w:r w:rsidRPr="00226CC6">
        <w:rPr>
          <w:i/>
          <w:color w:val="C00000"/>
        </w:rPr>
        <w:t xml:space="preserve"> </w:t>
      </w:r>
    </w:p>
    <w:p w14:paraId="3C50F54C" w14:textId="77777777" w:rsidR="009041A6" w:rsidRPr="00226CC6" w:rsidRDefault="009041A6" w:rsidP="002355BA">
      <w:pPr>
        <w:jc w:val="both"/>
      </w:pPr>
    </w:p>
    <w:p w14:paraId="08DF3F20" w14:textId="77777777" w:rsidR="0096645A" w:rsidRPr="00226CC6" w:rsidRDefault="0096645A" w:rsidP="002355BA">
      <w:pPr>
        <w:jc w:val="both"/>
      </w:pPr>
      <w:r w:rsidRPr="00226CC6">
        <w:rPr>
          <w:b/>
        </w:rPr>
        <w:t>Task 1.0:</w:t>
      </w:r>
      <w:r w:rsidRPr="00226CC6">
        <w:t xml:space="preserve"> </w:t>
      </w:r>
      <w:r w:rsidRPr="00226CC6">
        <w:rPr>
          <w:color w:val="0070C0"/>
        </w:rPr>
        <w:t>Distinc</w:t>
      </w:r>
      <w:r w:rsidR="004A06D0" w:rsidRPr="00226CC6">
        <w:rPr>
          <w:color w:val="0070C0"/>
        </w:rPr>
        <w:t>tive Title</w:t>
      </w:r>
    </w:p>
    <w:p w14:paraId="77857248" w14:textId="77777777" w:rsidR="0096645A" w:rsidRPr="00226CC6" w:rsidRDefault="0096645A" w:rsidP="002355BA">
      <w:pPr>
        <w:jc w:val="both"/>
        <w:rPr>
          <w:color w:val="0070C0"/>
        </w:rPr>
      </w:pPr>
      <w:r w:rsidRPr="00226CC6">
        <w:rPr>
          <w:b/>
        </w:rPr>
        <w:t>Task Summary:</w:t>
      </w:r>
      <w:r w:rsidRPr="00226CC6">
        <w:t xml:space="preserve"> </w:t>
      </w:r>
      <w:r w:rsidRPr="00226CC6">
        <w:rPr>
          <w:color w:val="0070C0"/>
        </w:rPr>
        <w:t xml:space="preserve">Task summaries shall explicitly describe </w:t>
      </w:r>
      <w:r w:rsidR="00230B59" w:rsidRPr="00226CC6">
        <w:rPr>
          <w:color w:val="0070C0"/>
        </w:rPr>
        <w:t xml:space="preserve">the </w:t>
      </w:r>
      <w:r w:rsidRPr="00226CC6">
        <w:rPr>
          <w:color w:val="0070C0"/>
        </w:rPr>
        <w:t xml:space="preserve">work </w:t>
      </w:r>
      <w:r w:rsidR="00230B59" w:rsidRPr="00226CC6">
        <w:rPr>
          <w:color w:val="0070C0"/>
        </w:rPr>
        <w:t xml:space="preserve">that </w:t>
      </w:r>
      <w:r w:rsidRPr="00226CC6">
        <w:rPr>
          <w:color w:val="0070C0"/>
        </w:rPr>
        <w:t>is to be accomplished</w:t>
      </w:r>
      <w:r w:rsidR="00230B59" w:rsidRPr="00226CC6">
        <w:rPr>
          <w:color w:val="0070C0"/>
        </w:rPr>
        <w:t>.  They should also</w:t>
      </w:r>
      <w:r w:rsidRPr="00226CC6">
        <w:rPr>
          <w:color w:val="0070C0"/>
        </w:rPr>
        <w:t xml:space="preserve"> identify the project objectives/outcomes being addresse</w:t>
      </w:r>
      <w:r w:rsidR="009C0DD4">
        <w:rPr>
          <w:color w:val="0070C0"/>
        </w:rPr>
        <w:t>d</w:t>
      </w:r>
      <w:r w:rsidRPr="00226CC6">
        <w:rPr>
          <w:color w:val="0070C0"/>
        </w:rPr>
        <w:t xml:space="preserve"> and provide a concise statement of the objectives of that</w:t>
      </w:r>
      <w:r w:rsidR="00230B59" w:rsidRPr="00226CC6">
        <w:rPr>
          <w:color w:val="0070C0"/>
        </w:rPr>
        <w:t xml:space="preserve"> particular</w:t>
      </w:r>
      <w:r w:rsidRPr="00226CC6">
        <w:rPr>
          <w:color w:val="0070C0"/>
        </w:rPr>
        <w:t xml:space="preserve"> task. </w:t>
      </w:r>
    </w:p>
    <w:p w14:paraId="557E352F" w14:textId="77777777" w:rsidR="0096645A" w:rsidRPr="00226CC6" w:rsidRDefault="0096645A" w:rsidP="002355BA">
      <w:pPr>
        <w:jc w:val="both"/>
      </w:pPr>
    </w:p>
    <w:p w14:paraId="65CB1DD2" w14:textId="77777777" w:rsidR="0096645A" w:rsidRPr="00226CC6" w:rsidRDefault="0096645A" w:rsidP="002355BA">
      <w:pPr>
        <w:jc w:val="both"/>
        <w:rPr>
          <w:color w:val="C00000"/>
        </w:rPr>
      </w:pPr>
      <w:r w:rsidRPr="00226CC6">
        <w:rPr>
          <w:b/>
        </w:rPr>
        <w:t>Subtask 1.1:</w:t>
      </w:r>
      <w:r w:rsidRPr="00226CC6">
        <w:t xml:space="preserve"> </w:t>
      </w:r>
      <w:r w:rsidR="004A06D0" w:rsidRPr="00226CC6">
        <w:rPr>
          <w:color w:val="0070C0"/>
        </w:rPr>
        <w:t>Title</w:t>
      </w:r>
    </w:p>
    <w:p w14:paraId="3C43E1A6" w14:textId="77777777" w:rsidR="00CA13E2" w:rsidRPr="00226CC6" w:rsidRDefault="00CA13E2" w:rsidP="002355BA">
      <w:pPr>
        <w:jc w:val="both"/>
        <w:rPr>
          <w:b/>
        </w:rPr>
      </w:pPr>
      <w:r w:rsidRPr="00226CC6">
        <w:rPr>
          <w:b/>
        </w:rPr>
        <w:t xml:space="preserve">Subtask Summary: </w:t>
      </w:r>
      <w:r w:rsidRPr="00226CC6">
        <w:rPr>
          <w:color w:val="0070C0"/>
        </w:rPr>
        <w:t>Add subtask summary</w:t>
      </w:r>
    </w:p>
    <w:p w14:paraId="13346769" w14:textId="77777777" w:rsidR="00CA13E2" w:rsidRPr="00226CC6" w:rsidRDefault="00CA13E2" w:rsidP="002355BA">
      <w:pPr>
        <w:jc w:val="both"/>
        <w:rPr>
          <w:b/>
        </w:rPr>
      </w:pPr>
    </w:p>
    <w:p w14:paraId="5C6FF345" w14:textId="77777777" w:rsidR="0096645A" w:rsidRPr="00226CC6" w:rsidRDefault="0096645A" w:rsidP="002355BA">
      <w:pPr>
        <w:jc w:val="both"/>
        <w:rPr>
          <w:color w:val="C00000"/>
        </w:rPr>
      </w:pPr>
      <w:r w:rsidRPr="00226CC6">
        <w:rPr>
          <w:b/>
        </w:rPr>
        <w:t>Subtask 1.2:</w:t>
      </w:r>
      <w:r w:rsidRPr="00226CC6">
        <w:rPr>
          <w:color w:val="0070C0"/>
        </w:rPr>
        <w:t xml:space="preserve"> </w:t>
      </w:r>
      <w:r w:rsidR="004A06D0" w:rsidRPr="00226CC6">
        <w:rPr>
          <w:color w:val="0070C0"/>
        </w:rPr>
        <w:t>Title</w:t>
      </w:r>
    </w:p>
    <w:p w14:paraId="4DD48CE3" w14:textId="77777777" w:rsidR="00374104" w:rsidRDefault="00CA13E2" w:rsidP="002355BA">
      <w:pPr>
        <w:jc w:val="both"/>
        <w:rPr>
          <w:color w:val="C00000"/>
        </w:rPr>
      </w:pPr>
      <w:r w:rsidRPr="00226CC6">
        <w:rPr>
          <w:b/>
        </w:rPr>
        <w:t xml:space="preserve">Subtask Summary: </w:t>
      </w:r>
      <w:r w:rsidRPr="00226CC6">
        <w:rPr>
          <w:color w:val="0070C0"/>
        </w:rPr>
        <w:t>Add subtask summary</w:t>
      </w:r>
      <w:r w:rsidR="00374104">
        <w:rPr>
          <w:color w:val="C00000"/>
        </w:rPr>
        <w:t xml:space="preserve"> </w:t>
      </w:r>
    </w:p>
    <w:p w14:paraId="6E2DACBD" w14:textId="77777777" w:rsidR="006F711C" w:rsidRPr="00226CC6" w:rsidRDefault="006F711C" w:rsidP="002355BA">
      <w:pPr>
        <w:jc w:val="both"/>
        <w:rPr>
          <w:b/>
        </w:rPr>
      </w:pPr>
    </w:p>
    <w:p w14:paraId="6948CB6A" w14:textId="77777777" w:rsidR="0096645A" w:rsidRPr="00226CC6" w:rsidRDefault="0096645A" w:rsidP="002355BA">
      <w:pPr>
        <w:jc w:val="both"/>
        <w:rPr>
          <w:color w:val="0070C0"/>
        </w:rPr>
      </w:pPr>
      <w:r w:rsidRPr="00226CC6">
        <w:rPr>
          <w:color w:val="0070C0"/>
        </w:rPr>
        <w:t>(Continue until all Task 1 subtasks are listed)</w:t>
      </w:r>
    </w:p>
    <w:p w14:paraId="28B08BFC" w14:textId="77777777" w:rsidR="0096645A" w:rsidRPr="00226CC6" w:rsidRDefault="0096645A" w:rsidP="002355BA">
      <w:pPr>
        <w:jc w:val="both"/>
      </w:pPr>
    </w:p>
    <w:p w14:paraId="17F6FA4C" w14:textId="77777777" w:rsidR="0096645A" w:rsidRPr="00226CC6" w:rsidRDefault="0096645A" w:rsidP="002355BA">
      <w:pPr>
        <w:jc w:val="both"/>
        <w:rPr>
          <w:color w:val="C00000"/>
        </w:rPr>
      </w:pPr>
      <w:r w:rsidRPr="00226CC6">
        <w:rPr>
          <w:b/>
        </w:rPr>
        <w:t>Task 2.0:</w:t>
      </w:r>
      <w:r w:rsidRPr="00226CC6">
        <w:t xml:space="preserve"> </w:t>
      </w:r>
      <w:r w:rsidRPr="00226CC6">
        <w:rPr>
          <w:color w:val="0070C0"/>
        </w:rPr>
        <w:t>(</w:t>
      </w:r>
      <w:r w:rsidR="000447CA" w:rsidRPr="00226CC6">
        <w:rPr>
          <w:color w:val="0070C0"/>
        </w:rPr>
        <w:t>C</w:t>
      </w:r>
      <w:r w:rsidRPr="00226CC6">
        <w:rPr>
          <w:color w:val="0070C0"/>
        </w:rPr>
        <w:t>ontinue in the format above until all tasks and subtasks are listed)</w:t>
      </w:r>
    </w:p>
    <w:p w14:paraId="78ECEE7A" w14:textId="77777777" w:rsidR="0096645A" w:rsidRPr="00226CC6" w:rsidRDefault="0096645A" w:rsidP="002355BA">
      <w:pPr>
        <w:jc w:val="both"/>
      </w:pPr>
    </w:p>
    <w:p w14:paraId="3485B95B" w14:textId="77777777" w:rsidR="00B77C40" w:rsidRPr="00226CC6" w:rsidRDefault="00B77C40" w:rsidP="00B77C40">
      <w:pPr>
        <w:pStyle w:val="CommentText"/>
        <w:widowControl w:val="0"/>
        <w:spacing w:after="120"/>
        <w:rPr>
          <w:color w:val="0070C0"/>
        </w:rPr>
      </w:pPr>
      <w:r w:rsidRPr="00226CC6">
        <w:rPr>
          <w:b/>
        </w:rPr>
        <w:t xml:space="preserve">Budget Period 1 Go/No-Go (GNG) Decision Point(s): </w:t>
      </w:r>
      <w:r w:rsidR="00880D33" w:rsidRPr="00226CC6">
        <w:rPr>
          <w:color w:val="0070C0"/>
        </w:rPr>
        <w:t xml:space="preserve">See Section E below for the </w:t>
      </w:r>
      <w:r w:rsidRPr="00226CC6">
        <w:rPr>
          <w:color w:val="0070C0"/>
        </w:rPr>
        <w:t xml:space="preserve">GNG criteria. </w:t>
      </w:r>
    </w:p>
    <w:p w14:paraId="0924956E" w14:textId="77777777" w:rsidR="00A95A6B" w:rsidRPr="00226CC6" w:rsidRDefault="00A95A6B" w:rsidP="002355BA">
      <w:pPr>
        <w:jc w:val="both"/>
        <w:rPr>
          <w:color w:val="0070C0"/>
        </w:rPr>
      </w:pPr>
    </w:p>
    <w:p w14:paraId="5B85475E" w14:textId="77777777" w:rsidR="0096645A" w:rsidRPr="00226CC6" w:rsidRDefault="0096645A" w:rsidP="002355BA">
      <w:pPr>
        <w:jc w:val="both"/>
        <w:rPr>
          <w:b/>
          <w:sz w:val="28"/>
        </w:rPr>
      </w:pPr>
      <w:r w:rsidRPr="00226CC6">
        <w:rPr>
          <w:b/>
          <w:sz w:val="28"/>
        </w:rPr>
        <w:t>B</w:t>
      </w:r>
      <w:r w:rsidR="009701CB" w:rsidRPr="00226CC6">
        <w:rPr>
          <w:b/>
          <w:sz w:val="28"/>
        </w:rPr>
        <w:t>udget Period 2</w:t>
      </w:r>
    </w:p>
    <w:p w14:paraId="230FDA03" w14:textId="77777777" w:rsidR="0096645A" w:rsidRPr="00226CC6" w:rsidRDefault="0096645A" w:rsidP="002355BA">
      <w:pPr>
        <w:jc w:val="both"/>
        <w:rPr>
          <w:b/>
        </w:rPr>
      </w:pPr>
    </w:p>
    <w:p w14:paraId="322B580B" w14:textId="77777777" w:rsidR="0096645A" w:rsidRPr="00226CC6" w:rsidRDefault="0096645A" w:rsidP="002355BA">
      <w:pPr>
        <w:jc w:val="both"/>
        <w:rPr>
          <w:color w:val="C00000"/>
        </w:rPr>
      </w:pPr>
      <w:r w:rsidRPr="00226CC6">
        <w:rPr>
          <w:b/>
        </w:rPr>
        <w:t xml:space="preserve">Task 3.0: </w:t>
      </w:r>
      <w:r w:rsidRPr="00226CC6">
        <w:rPr>
          <w:color w:val="0070C0"/>
        </w:rPr>
        <w:t>(Continue in the format above until all tasks and subtasks are listed)</w:t>
      </w:r>
    </w:p>
    <w:p w14:paraId="43DD6541" w14:textId="77777777" w:rsidR="0096645A" w:rsidRPr="00226CC6" w:rsidRDefault="0096645A" w:rsidP="002355BA">
      <w:pPr>
        <w:jc w:val="both"/>
      </w:pPr>
    </w:p>
    <w:p w14:paraId="1F823E7D" w14:textId="77777777" w:rsidR="00B77C40" w:rsidRPr="00226CC6" w:rsidRDefault="00B77C40" w:rsidP="00B77C40">
      <w:pPr>
        <w:jc w:val="both"/>
        <w:rPr>
          <w:b/>
          <w:color w:val="C00000"/>
        </w:rPr>
      </w:pPr>
      <w:r w:rsidRPr="00226CC6">
        <w:rPr>
          <w:b/>
        </w:rPr>
        <w:t xml:space="preserve">End of Project (EOP) Goal: </w:t>
      </w:r>
      <w:r w:rsidR="006F711C" w:rsidRPr="00226CC6">
        <w:rPr>
          <w:color w:val="0070C0"/>
        </w:rPr>
        <w:t>(For the last budget period</w:t>
      </w:r>
      <w:r w:rsidR="006F711C">
        <w:rPr>
          <w:color w:val="0070C0"/>
        </w:rPr>
        <w:t>.</w:t>
      </w:r>
      <w:r w:rsidR="006F711C" w:rsidRPr="00226CC6">
        <w:rPr>
          <w:color w:val="0070C0"/>
        </w:rPr>
        <w:t xml:space="preserve">) </w:t>
      </w:r>
      <w:r w:rsidR="00880D33" w:rsidRPr="00226CC6">
        <w:rPr>
          <w:color w:val="0070C0"/>
        </w:rPr>
        <w:t>See Section E below for the EOP criteria.</w:t>
      </w:r>
      <w:r w:rsidRPr="00226CC6">
        <w:rPr>
          <w:b/>
          <w:color w:val="0070C0"/>
        </w:rPr>
        <w:t xml:space="preserve"> </w:t>
      </w:r>
    </w:p>
    <w:p w14:paraId="62A40D03" w14:textId="77777777" w:rsidR="00A40E55" w:rsidRPr="00226CC6" w:rsidRDefault="00A40E55" w:rsidP="002355BA">
      <w:pPr>
        <w:jc w:val="both"/>
        <w:rPr>
          <w:i/>
        </w:rPr>
      </w:pPr>
    </w:p>
    <w:p w14:paraId="4A94107E" w14:textId="77777777" w:rsidR="0096645A" w:rsidRPr="00226CC6" w:rsidRDefault="00990045" w:rsidP="002355BA">
      <w:pPr>
        <w:pStyle w:val="Heading1"/>
        <w:numPr>
          <w:ilvl w:val="0"/>
          <w:numId w:val="7"/>
        </w:numPr>
        <w:ind w:left="360"/>
        <w:jc w:val="both"/>
      </w:pPr>
      <w:r w:rsidRPr="00226CC6">
        <w:lastRenderedPageBreak/>
        <w:t>Project Management and Reporting</w:t>
      </w:r>
    </w:p>
    <w:p w14:paraId="2D499AE6" w14:textId="77777777" w:rsidR="00E15529" w:rsidRPr="00226CC6" w:rsidRDefault="00E15529" w:rsidP="002355BA">
      <w:pPr>
        <w:jc w:val="both"/>
      </w:pPr>
    </w:p>
    <w:p w14:paraId="7BC83D52" w14:textId="77777777" w:rsidR="00184EE9" w:rsidRPr="008A2000" w:rsidRDefault="00FA0EAE" w:rsidP="00226CC6">
      <w:r w:rsidRPr="008A2000">
        <w:t>Recipient will be responsible for programmatic, technical, and financial program management.  Reports and other milestones will be provided in accordance with the Federal Assistance Reporting Checklist following the instructions included therein.  Project update teleconferences will be held approximately monthly (or on an alternate schedule if requested by DOE), except where replaced by in-person status meetings or demonstrations. Recipient travel will be carried out as budgeted and necessary to complete the project goals.</w:t>
      </w:r>
    </w:p>
    <w:p w14:paraId="4BE575D7" w14:textId="77777777" w:rsidR="00184EE9" w:rsidRPr="00226CC6" w:rsidRDefault="00184EE9" w:rsidP="00226CC6"/>
    <w:p w14:paraId="3CE6871B" w14:textId="77777777" w:rsidR="00184EE9" w:rsidRPr="00226CC6" w:rsidRDefault="00184EE9" w:rsidP="00184EE9">
      <w:pPr>
        <w:pStyle w:val="Heading1"/>
        <w:numPr>
          <w:ilvl w:val="0"/>
          <w:numId w:val="7"/>
        </w:numPr>
        <w:ind w:left="360"/>
        <w:jc w:val="both"/>
      </w:pPr>
      <w:r w:rsidRPr="00226CC6">
        <w:t xml:space="preserve">Milestone </w:t>
      </w:r>
      <w:r w:rsidR="00374104">
        <w:t>T</w:t>
      </w:r>
      <w:r w:rsidRPr="00226CC6">
        <w:t>able</w:t>
      </w:r>
    </w:p>
    <w:p w14:paraId="72D9F404" w14:textId="77777777" w:rsidR="00184EE9" w:rsidRPr="00226CC6" w:rsidRDefault="00184EE9" w:rsidP="00184EE9">
      <w:pPr>
        <w:jc w:val="both"/>
        <w:rPr>
          <w:b/>
          <w:color w:val="C00000"/>
        </w:rPr>
      </w:pPr>
    </w:p>
    <w:p w14:paraId="2E733C29" w14:textId="77777777" w:rsidR="00184EE9" w:rsidRPr="00226CC6" w:rsidRDefault="00184EE9" w:rsidP="00226CC6">
      <w:pPr>
        <w:rPr>
          <w:color w:val="0070C0"/>
        </w:rPr>
      </w:pPr>
      <w:r w:rsidRPr="00226CC6">
        <w:rPr>
          <w:b/>
          <w:color w:val="0070C0"/>
        </w:rPr>
        <w:t>Milestones:</w:t>
      </w:r>
      <w:r w:rsidRPr="00226CC6">
        <w:rPr>
          <w:color w:val="0070C0"/>
        </w:rPr>
        <w:t xml:space="preserve"> The Awardee should identify appropriate SMART </w:t>
      </w:r>
      <w:r w:rsidR="00E10F9A" w:rsidRPr="00226CC6">
        <w:rPr>
          <w:color w:val="0070C0"/>
        </w:rPr>
        <w:t>(Specific, Measur</w:t>
      </w:r>
      <w:r w:rsidR="005938E5" w:rsidRPr="00226CC6">
        <w:rPr>
          <w:color w:val="0070C0"/>
        </w:rPr>
        <w:t xml:space="preserve">able, Achievable, Relevant, </w:t>
      </w:r>
      <w:r w:rsidR="00E10F9A" w:rsidRPr="00226CC6">
        <w:rPr>
          <w:color w:val="0070C0"/>
        </w:rPr>
        <w:t xml:space="preserve">Timely) </w:t>
      </w:r>
      <w:r w:rsidR="005938E5" w:rsidRPr="00226CC6">
        <w:rPr>
          <w:color w:val="0070C0"/>
        </w:rPr>
        <w:t xml:space="preserve">milestones </w:t>
      </w:r>
      <w:r w:rsidR="00E10F9A" w:rsidRPr="00226CC6">
        <w:rPr>
          <w:color w:val="0070C0"/>
        </w:rPr>
        <w:t xml:space="preserve">in order to </w:t>
      </w:r>
      <w:r w:rsidRPr="00226CC6">
        <w:rPr>
          <w:color w:val="0070C0"/>
        </w:rPr>
        <w:t xml:space="preserve">demonstrate </w:t>
      </w:r>
      <w:r w:rsidR="00E10F9A" w:rsidRPr="00226CC6">
        <w:rPr>
          <w:color w:val="0070C0"/>
        </w:rPr>
        <w:t>actual</w:t>
      </w:r>
      <w:r w:rsidRPr="00226CC6">
        <w:rPr>
          <w:color w:val="0070C0"/>
        </w:rPr>
        <w:t xml:space="preserve"> achievement rather than simply completing a task. Recommended numbering convention: [Budget Pe</w:t>
      </w:r>
      <w:r w:rsidR="00374104" w:rsidRPr="00226CC6">
        <w:rPr>
          <w:color w:val="0070C0"/>
        </w:rPr>
        <w:t>riod #].[</w:t>
      </w:r>
      <w:r w:rsidR="00E10F9A" w:rsidRPr="00226CC6">
        <w:rPr>
          <w:color w:val="0070C0"/>
        </w:rPr>
        <w:t xml:space="preserve">Task #].[Milestone #]. </w:t>
      </w:r>
      <w:r w:rsidR="00E10F9A" w:rsidRPr="00226CC6">
        <w:rPr>
          <w:i/>
          <w:color w:val="0070C0"/>
        </w:rPr>
        <w:t>F</w:t>
      </w:r>
      <w:r w:rsidRPr="00226CC6">
        <w:rPr>
          <w:i/>
          <w:color w:val="0070C0"/>
        </w:rPr>
        <w:t>or example</w:t>
      </w:r>
      <w:r w:rsidR="00226CC6">
        <w:rPr>
          <w:i/>
          <w:color w:val="0070C0"/>
        </w:rPr>
        <w:t xml:space="preserve"> - </w:t>
      </w:r>
      <w:r w:rsidRPr="00226CC6">
        <w:rPr>
          <w:i/>
          <w:color w:val="0070C0"/>
        </w:rPr>
        <w:t>1.3.2 means Milestone 2 within Task 3 of Budget Period 1.</w:t>
      </w:r>
    </w:p>
    <w:p w14:paraId="15D7AA5E" w14:textId="77777777" w:rsidR="00184EE9" w:rsidRPr="00226CC6" w:rsidRDefault="00184EE9" w:rsidP="00226CC6">
      <w:pPr>
        <w:rPr>
          <w:color w:val="0070C0"/>
        </w:rPr>
      </w:pPr>
    </w:p>
    <w:p w14:paraId="0DAF97D7" w14:textId="77777777" w:rsidR="00184EE9" w:rsidRPr="00226CC6" w:rsidRDefault="00184EE9" w:rsidP="00226CC6">
      <w:pPr>
        <w:rPr>
          <w:color w:val="0070C0"/>
        </w:rPr>
      </w:pPr>
      <w:r w:rsidRPr="00226CC6">
        <w:rPr>
          <w:b/>
          <w:color w:val="0070C0"/>
        </w:rPr>
        <w:t xml:space="preserve">Go/No-Go </w:t>
      </w:r>
      <w:r w:rsidR="006F711C">
        <w:rPr>
          <w:b/>
          <w:color w:val="0070C0"/>
        </w:rPr>
        <w:t xml:space="preserve">(GNG) </w:t>
      </w:r>
      <w:r w:rsidRPr="00226CC6">
        <w:rPr>
          <w:b/>
          <w:color w:val="0070C0"/>
        </w:rPr>
        <w:t>Decision Points:</w:t>
      </w:r>
      <w:r w:rsidRPr="00226CC6">
        <w:rPr>
          <w:color w:val="0070C0"/>
        </w:rPr>
        <w:t xml:space="preserve"> The Awardee should include project-wide Go/No-Go decision points (each comprised by multiple Milestones) at the end of each budget period.  A Go/No-Go decision point is a risk management tool and a project management best practice to ensure that, for the current budget period or period of performance, success is definitively achieved and potential for success in future budget periods is evaluated, prior to actually beginning the execution of future budget periods.  </w:t>
      </w:r>
    </w:p>
    <w:p w14:paraId="2460D5B8" w14:textId="77777777" w:rsidR="00184EE9" w:rsidRPr="00226CC6" w:rsidRDefault="00184EE9" w:rsidP="00226CC6">
      <w:pPr>
        <w:rPr>
          <w:color w:val="0070C0"/>
        </w:rPr>
      </w:pPr>
    </w:p>
    <w:p w14:paraId="31F3B9AE" w14:textId="77777777" w:rsidR="00184EE9" w:rsidRPr="00226CC6" w:rsidRDefault="00184EE9" w:rsidP="00226CC6">
      <w:pPr>
        <w:rPr>
          <w:color w:val="0070C0"/>
        </w:rPr>
      </w:pPr>
      <w:r w:rsidRPr="00226CC6">
        <w:rPr>
          <w:color w:val="0070C0"/>
        </w:rPr>
        <w:t>The Awardee must include at least 1 Go/No-Go Milestone in each of the following areas for each budget period of the project:</w:t>
      </w:r>
    </w:p>
    <w:p w14:paraId="6E2706C6" w14:textId="77777777" w:rsidR="005938E5" w:rsidRPr="00226CC6" w:rsidRDefault="005938E5" w:rsidP="00226CC6">
      <w:pPr>
        <w:rPr>
          <w:color w:val="0070C0"/>
        </w:rPr>
      </w:pPr>
    </w:p>
    <w:p w14:paraId="6A3BCD78" w14:textId="77777777" w:rsidR="00184EE9" w:rsidRPr="00226CC6" w:rsidRDefault="00184EE9" w:rsidP="00226CC6">
      <w:pPr>
        <w:pStyle w:val="ListParagraph"/>
        <w:numPr>
          <w:ilvl w:val="0"/>
          <w:numId w:val="14"/>
        </w:numPr>
        <w:rPr>
          <w:color w:val="0070C0"/>
        </w:rPr>
      </w:pPr>
      <w:r w:rsidRPr="00226CC6">
        <w:rPr>
          <w:color w:val="0070C0"/>
        </w:rPr>
        <w:t>Technical and analytical</w:t>
      </w:r>
      <w:r w:rsidR="00226CC6" w:rsidRPr="00226CC6">
        <w:rPr>
          <w:color w:val="0070C0"/>
        </w:rPr>
        <w:t>: for example</w:t>
      </w:r>
      <w:r w:rsidR="00226CC6">
        <w:rPr>
          <w:color w:val="0070C0"/>
        </w:rPr>
        <w:t xml:space="preserve"> - </w:t>
      </w:r>
      <w:r w:rsidRPr="00226CC6">
        <w:rPr>
          <w:color w:val="0070C0"/>
        </w:rPr>
        <w:t>efficiency, lifetime, degradation rates, availability, reliability</w:t>
      </w:r>
    </w:p>
    <w:p w14:paraId="13465208" w14:textId="77777777" w:rsidR="00184EE9" w:rsidRPr="00226CC6" w:rsidRDefault="00184EE9" w:rsidP="00226CC6">
      <w:pPr>
        <w:pStyle w:val="ListParagraph"/>
        <w:numPr>
          <w:ilvl w:val="0"/>
          <w:numId w:val="14"/>
        </w:numPr>
        <w:rPr>
          <w:color w:val="0070C0"/>
        </w:rPr>
      </w:pPr>
      <w:r w:rsidRPr="00226CC6">
        <w:rPr>
          <w:color w:val="0070C0"/>
        </w:rPr>
        <w:t xml:space="preserve">Cost and/or </w:t>
      </w:r>
      <w:r w:rsidR="00226CC6" w:rsidRPr="00226CC6">
        <w:rPr>
          <w:color w:val="0070C0"/>
        </w:rPr>
        <w:t>value evaluations: for example</w:t>
      </w:r>
      <w:r w:rsidR="00226CC6">
        <w:rPr>
          <w:color w:val="0070C0"/>
        </w:rPr>
        <w:t xml:space="preserve"> - </w:t>
      </w:r>
      <w:r w:rsidRPr="00226CC6">
        <w:rPr>
          <w:color w:val="0070C0"/>
        </w:rPr>
        <w:t>techno-economic analyses for material usage, manufacturing and/or operations, value propositions for technology or service</w:t>
      </w:r>
    </w:p>
    <w:p w14:paraId="0BC5C3CB" w14:textId="77777777" w:rsidR="00184EE9" w:rsidRPr="00226CC6" w:rsidRDefault="00184EE9" w:rsidP="00226CC6">
      <w:pPr>
        <w:pStyle w:val="ListParagraph"/>
        <w:numPr>
          <w:ilvl w:val="0"/>
          <w:numId w:val="14"/>
        </w:numPr>
        <w:rPr>
          <w:color w:val="0070C0"/>
        </w:rPr>
      </w:pPr>
      <w:r w:rsidRPr="00226CC6">
        <w:rPr>
          <w:color w:val="0070C0"/>
        </w:rPr>
        <w:t>Stake</w:t>
      </w:r>
      <w:r w:rsidR="00226CC6" w:rsidRPr="00226CC6">
        <w:rPr>
          <w:color w:val="0070C0"/>
        </w:rPr>
        <w:t>holder engagement: for example</w:t>
      </w:r>
      <w:r w:rsidR="00226CC6">
        <w:rPr>
          <w:color w:val="0070C0"/>
        </w:rPr>
        <w:t xml:space="preserve"> - </w:t>
      </w:r>
      <w:r w:rsidRPr="00226CC6">
        <w:rPr>
          <w:color w:val="0070C0"/>
        </w:rPr>
        <w:t>identification of possible user/off-taker base, memoranda of understanding/letters of intent for testing/purchase, journal articles, convening working groups</w:t>
      </w:r>
    </w:p>
    <w:p w14:paraId="3CF4EFC7" w14:textId="77777777" w:rsidR="00184EE9" w:rsidRPr="00226CC6" w:rsidRDefault="00184EE9" w:rsidP="00226CC6">
      <w:pPr>
        <w:rPr>
          <w:color w:val="0070C0"/>
        </w:rPr>
      </w:pPr>
    </w:p>
    <w:p w14:paraId="1B9F8581" w14:textId="77777777" w:rsidR="00184EE9" w:rsidRPr="00226CC6" w:rsidRDefault="00184EE9" w:rsidP="00226CC6">
      <w:pPr>
        <w:rPr>
          <w:i/>
          <w:color w:val="0070C0"/>
        </w:rPr>
      </w:pPr>
      <w:r w:rsidRPr="00226CC6">
        <w:rPr>
          <w:color w:val="0070C0"/>
        </w:rPr>
        <w:t>The Awardee should also include the specific criteria that will be used to evaluate the progress and make the Go/No-Go decision.  Go/No‐Go decision points are considered “SMART”. Recommended numbering convention: GNG-[Budget Period #][Milestone Letter], for example GNG-1C means Go/No-Go Milestone C of Budget Period 1.</w:t>
      </w:r>
    </w:p>
    <w:p w14:paraId="51D16208" w14:textId="77777777" w:rsidR="00184EE9" w:rsidRPr="00226CC6" w:rsidRDefault="00184EE9" w:rsidP="00226CC6">
      <w:pPr>
        <w:rPr>
          <w:color w:val="0070C0"/>
        </w:rPr>
      </w:pPr>
    </w:p>
    <w:p w14:paraId="68AAA146" w14:textId="77777777" w:rsidR="00184EE9" w:rsidRPr="00226CC6" w:rsidRDefault="00184EE9" w:rsidP="00226CC6">
      <w:pPr>
        <w:rPr>
          <w:color w:val="0070C0"/>
        </w:rPr>
      </w:pPr>
      <w:r w:rsidRPr="00226CC6">
        <w:rPr>
          <w:b/>
          <w:color w:val="0070C0"/>
        </w:rPr>
        <w:t xml:space="preserve">End of Project </w:t>
      </w:r>
      <w:r w:rsidR="006F711C">
        <w:rPr>
          <w:b/>
          <w:color w:val="0070C0"/>
        </w:rPr>
        <w:t xml:space="preserve">(EOP) </w:t>
      </w:r>
      <w:r w:rsidRPr="00226CC6">
        <w:rPr>
          <w:b/>
          <w:color w:val="0070C0"/>
        </w:rPr>
        <w:t xml:space="preserve">Goals: </w:t>
      </w:r>
      <w:r w:rsidRPr="00226CC6">
        <w:rPr>
          <w:color w:val="0070C0"/>
        </w:rPr>
        <w:t xml:space="preserve"> The Awardee should include SMART end of project goals. The Applicant should also provide the means by which the end of project goals will be verified.  </w:t>
      </w:r>
      <w:r w:rsidRPr="00226CC6">
        <w:rPr>
          <w:color w:val="0070C0"/>
        </w:rPr>
        <w:lastRenderedPageBreak/>
        <w:t>Recommended numbering conv</w:t>
      </w:r>
      <w:r w:rsidR="006F711C" w:rsidRPr="00226CC6">
        <w:rPr>
          <w:color w:val="0070C0"/>
        </w:rPr>
        <w:t>ention: EOP-[Milestone Letter]</w:t>
      </w:r>
      <w:r w:rsidR="006F711C">
        <w:rPr>
          <w:color w:val="0070C0"/>
        </w:rPr>
        <w:t>. F</w:t>
      </w:r>
      <w:r w:rsidRPr="00226CC6">
        <w:rPr>
          <w:color w:val="0070C0"/>
        </w:rPr>
        <w:t>or example</w:t>
      </w:r>
      <w:r w:rsidR="00226CC6">
        <w:rPr>
          <w:color w:val="0070C0"/>
        </w:rPr>
        <w:t xml:space="preserve"> - </w:t>
      </w:r>
      <w:r w:rsidRPr="00226CC6">
        <w:rPr>
          <w:color w:val="0070C0"/>
        </w:rPr>
        <w:t>EOP-B means End of Project Goal B.</w:t>
      </w:r>
    </w:p>
    <w:p w14:paraId="74F9E87F" w14:textId="77777777" w:rsidR="00184EE9" w:rsidRPr="00226CC6" w:rsidRDefault="00184EE9" w:rsidP="00226CC6">
      <w:pPr>
        <w:rPr>
          <w:color w:val="0070C0"/>
        </w:rPr>
      </w:pPr>
    </w:p>
    <w:p w14:paraId="325949D2" w14:textId="77777777" w:rsidR="00184EE9" w:rsidRPr="00226CC6" w:rsidRDefault="00184EE9" w:rsidP="00226CC6">
      <w:pPr>
        <w:rPr>
          <w:i/>
          <w:color w:val="0070C0"/>
        </w:rPr>
      </w:pPr>
      <w:r w:rsidRPr="00226CC6">
        <w:rPr>
          <w:i/>
          <w:color w:val="0070C0"/>
        </w:rPr>
        <w:t>Examples of different types of Milestones from different technology areas are included in the table below. Please remove the examples and build your own Milestone tabl</w:t>
      </w:r>
      <w:r w:rsidR="006F711C" w:rsidRPr="00226CC6">
        <w:rPr>
          <w:i/>
          <w:color w:val="0070C0"/>
        </w:rPr>
        <w:t>e with the same level of detail</w:t>
      </w:r>
      <w:r w:rsidRPr="00226CC6">
        <w:rPr>
          <w:i/>
          <w:color w:val="0070C0"/>
        </w:rPr>
        <w:t>, depending on the specific goals and schedule of your award.</w:t>
      </w:r>
    </w:p>
    <w:p w14:paraId="2671D688" w14:textId="77777777" w:rsidR="00184EE9" w:rsidRPr="00226CC6" w:rsidRDefault="00184EE9" w:rsidP="00226CC6"/>
    <w:p w14:paraId="783FDFB1" w14:textId="77777777" w:rsidR="00E547AD" w:rsidRPr="00226CC6" w:rsidRDefault="00E547AD" w:rsidP="00226CC6">
      <w:pPr>
        <w:rPr>
          <w:b/>
          <w:color w:val="C00000"/>
        </w:rPr>
        <w:sectPr w:rsidR="00E547AD" w:rsidRPr="00226CC6" w:rsidSect="003B08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457583A9" w14:textId="77777777" w:rsidR="00C14BF3" w:rsidRPr="00226CC6" w:rsidRDefault="00C14BF3" w:rsidP="009041A6">
      <w:pPr>
        <w:jc w:val="both"/>
        <w:rPr>
          <w:i/>
          <w:color w:val="C00000"/>
        </w:rPr>
      </w:pPr>
    </w:p>
    <w:tbl>
      <w:tblPr>
        <w:tblStyle w:val="TableGrid"/>
        <w:tblW w:w="0" w:type="auto"/>
        <w:tblLayout w:type="fixed"/>
        <w:tblLook w:val="04A0" w:firstRow="1" w:lastRow="0" w:firstColumn="1" w:lastColumn="0" w:noHBand="0" w:noVBand="1"/>
      </w:tblPr>
      <w:tblGrid>
        <w:gridCol w:w="805"/>
        <w:gridCol w:w="1260"/>
        <w:gridCol w:w="1350"/>
        <w:gridCol w:w="1440"/>
        <w:gridCol w:w="2790"/>
        <w:gridCol w:w="2610"/>
        <w:gridCol w:w="2695"/>
      </w:tblGrid>
      <w:tr w:rsidR="00F26929" w:rsidRPr="00226CC6" w14:paraId="1495BF53" w14:textId="77777777" w:rsidTr="005D67CB">
        <w:trPr>
          <w:tblHeader/>
        </w:trPr>
        <w:tc>
          <w:tcPr>
            <w:tcW w:w="805" w:type="dxa"/>
            <w:shd w:val="clear" w:color="auto" w:fill="95B3D7" w:themeFill="accent1" w:themeFillTint="99"/>
            <w:vAlign w:val="center"/>
          </w:tcPr>
          <w:p w14:paraId="4848B5B3" w14:textId="77777777" w:rsidR="00F26929" w:rsidRPr="00226CC6" w:rsidRDefault="00B35EB8" w:rsidP="00C43B04">
            <w:pPr>
              <w:jc w:val="center"/>
              <w:rPr>
                <w:b/>
                <w:sz w:val="20"/>
              </w:rPr>
            </w:pPr>
            <w:r>
              <w:rPr>
                <w:b/>
                <w:sz w:val="20"/>
              </w:rPr>
              <w:t>Milestone</w:t>
            </w:r>
            <w:r w:rsidR="0098716B">
              <w:rPr>
                <w:b/>
                <w:sz w:val="20"/>
              </w:rPr>
              <w:t xml:space="preserve"> </w:t>
            </w:r>
            <w:r w:rsidR="00F26929" w:rsidRPr="00226CC6">
              <w:rPr>
                <w:b/>
                <w:sz w:val="20"/>
              </w:rPr>
              <w:t>#</w:t>
            </w:r>
          </w:p>
        </w:tc>
        <w:tc>
          <w:tcPr>
            <w:tcW w:w="1260" w:type="dxa"/>
            <w:shd w:val="clear" w:color="auto" w:fill="95B3D7" w:themeFill="accent1" w:themeFillTint="99"/>
            <w:vAlign w:val="center"/>
          </w:tcPr>
          <w:p w14:paraId="286F5C8F" w14:textId="77777777" w:rsidR="00F26929" w:rsidRPr="00226CC6" w:rsidRDefault="00BA15C5" w:rsidP="00C43B04">
            <w:pPr>
              <w:jc w:val="center"/>
              <w:rPr>
                <w:b/>
                <w:sz w:val="20"/>
              </w:rPr>
            </w:pPr>
            <w:r>
              <w:rPr>
                <w:b/>
                <w:sz w:val="20"/>
              </w:rPr>
              <w:t xml:space="preserve">Anticipated </w:t>
            </w:r>
            <w:r w:rsidR="00F26929" w:rsidRPr="00226CC6">
              <w:rPr>
                <w:b/>
                <w:sz w:val="20"/>
              </w:rPr>
              <w:t>Month of completion</w:t>
            </w:r>
          </w:p>
        </w:tc>
        <w:tc>
          <w:tcPr>
            <w:tcW w:w="1350" w:type="dxa"/>
            <w:shd w:val="clear" w:color="auto" w:fill="95B3D7" w:themeFill="accent1" w:themeFillTint="99"/>
            <w:vAlign w:val="center"/>
          </w:tcPr>
          <w:p w14:paraId="533EAD32" w14:textId="77777777" w:rsidR="00F26929" w:rsidRPr="00226CC6" w:rsidRDefault="00F26929" w:rsidP="00F26929">
            <w:pPr>
              <w:jc w:val="center"/>
              <w:rPr>
                <w:b/>
                <w:sz w:val="20"/>
              </w:rPr>
            </w:pPr>
            <w:r w:rsidRPr="00226CC6">
              <w:rPr>
                <w:b/>
                <w:sz w:val="20"/>
              </w:rPr>
              <w:t>Performance Metric</w:t>
            </w:r>
          </w:p>
        </w:tc>
        <w:tc>
          <w:tcPr>
            <w:tcW w:w="1440" w:type="dxa"/>
            <w:shd w:val="clear" w:color="auto" w:fill="95B3D7" w:themeFill="accent1" w:themeFillTint="99"/>
            <w:vAlign w:val="center"/>
          </w:tcPr>
          <w:p w14:paraId="26872970" w14:textId="77777777" w:rsidR="00F26929" w:rsidRPr="00226CC6" w:rsidRDefault="00F26929" w:rsidP="00F26929">
            <w:pPr>
              <w:jc w:val="center"/>
              <w:rPr>
                <w:b/>
                <w:sz w:val="20"/>
              </w:rPr>
            </w:pPr>
            <w:r w:rsidRPr="00226CC6">
              <w:rPr>
                <w:b/>
                <w:sz w:val="20"/>
              </w:rPr>
              <w:t>Success Value</w:t>
            </w:r>
          </w:p>
        </w:tc>
        <w:tc>
          <w:tcPr>
            <w:tcW w:w="2790" w:type="dxa"/>
            <w:shd w:val="clear" w:color="auto" w:fill="95B3D7" w:themeFill="accent1" w:themeFillTint="99"/>
            <w:vAlign w:val="center"/>
          </w:tcPr>
          <w:p w14:paraId="2A4D7219" w14:textId="77777777" w:rsidR="00F26929" w:rsidRPr="00226CC6" w:rsidRDefault="00F26929" w:rsidP="00F26929">
            <w:pPr>
              <w:jc w:val="center"/>
              <w:rPr>
                <w:b/>
                <w:sz w:val="20"/>
              </w:rPr>
            </w:pPr>
            <w:r w:rsidRPr="00226CC6">
              <w:rPr>
                <w:b/>
                <w:sz w:val="20"/>
              </w:rPr>
              <w:t>Assessment Tool / Method of Measuring Success Value</w:t>
            </w:r>
          </w:p>
        </w:tc>
        <w:tc>
          <w:tcPr>
            <w:tcW w:w="2610" w:type="dxa"/>
            <w:shd w:val="clear" w:color="auto" w:fill="95B3D7" w:themeFill="accent1" w:themeFillTint="99"/>
            <w:vAlign w:val="center"/>
          </w:tcPr>
          <w:p w14:paraId="781EFCB3" w14:textId="77777777" w:rsidR="00F26929" w:rsidRPr="00226CC6" w:rsidRDefault="00F26929" w:rsidP="00F26929">
            <w:pPr>
              <w:jc w:val="center"/>
              <w:rPr>
                <w:b/>
                <w:sz w:val="20"/>
              </w:rPr>
            </w:pPr>
            <w:r w:rsidRPr="00226CC6">
              <w:rPr>
                <w:b/>
                <w:sz w:val="20"/>
              </w:rPr>
              <w:t>Verification Process</w:t>
            </w:r>
          </w:p>
        </w:tc>
        <w:tc>
          <w:tcPr>
            <w:tcW w:w="2695" w:type="dxa"/>
            <w:shd w:val="clear" w:color="auto" w:fill="95B3D7" w:themeFill="accent1" w:themeFillTint="99"/>
          </w:tcPr>
          <w:p w14:paraId="57D15424" w14:textId="77777777" w:rsidR="00F26929" w:rsidRPr="00226CC6" w:rsidRDefault="00F26929" w:rsidP="00AE5EFF">
            <w:pPr>
              <w:jc w:val="center"/>
              <w:rPr>
                <w:b/>
                <w:sz w:val="20"/>
              </w:rPr>
            </w:pPr>
            <w:r w:rsidRPr="00226CC6">
              <w:rPr>
                <w:b/>
                <w:sz w:val="20"/>
              </w:rPr>
              <w:t>Metric Justification, Additional Notes</w:t>
            </w:r>
          </w:p>
        </w:tc>
      </w:tr>
      <w:tr w:rsidR="00F26929" w:rsidRPr="00226CC6" w14:paraId="63FB6BCA" w14:textId="77777777" w:rsidTr="005D67CB">
        <w:tc>
          <w:tcPr>
            <w:tcW w:w="805" w:type="dxa"/>
          </w:tcPr>
          <w:p w14:paraId="4FD98940" w14:textId="77777777" w:rsidR="00F26929" w:rsidRPr="00226CC6" w:rsidRDefault="00DA4CDB" w:rsidP="00DA4CDB">
            <w:pPr>
              <w:jc w:val="center"/>
              <w:rPr>
                <w:sz w:val="20"/>
              </w:rPr>
            </w:pPr>
            <w:r w:rsidRPr="00226CC6">
              <w:rPr>
                <w:sz w:val="20"/>
              </w:rPr>
              <w:t>1.1.1</w:t>
            </w:r>
          </w:p>
        </w:tc>
        <w:tc>
          <w:tcPr>
            <w:tcW w:w="1260" w:type="dxa"/>
          </w:tcPr>
          <w:p w14:paraId="67733BA2" w14:textId="77777777" w:rsidR="00F26929" w:rsidRPr="00226CC6" w:rsidRDefault="00C43B04" w:rsidP="00C43B04">
            <w:pPr>
              <w:jc w:val="center"/>
              <w:rPr>
                <w:sz w:val="20"/>
              </w:rPr>
            </w:pPr>
            <w:r w:rsidRPr="00226CC6">
              <w:rPr>
                <w:sz w:val="20"/>
              </w:rPr>
              <w:t>4</w:t>
            </w:r>
          </w:p>
        </w:tc>
        <w:tc>
          <w:tcPr>
            <w:tcW w:w="1350" w:type="dxa"/>
          </w:tcPr>
          <w:p w14:paraId="4AC39875" w14:textId="77777777" w:rsidR="00F26929" w:rsidRPr="00226CC6" w:rsidRDefault="00C43B04" w:rsidP="00C43B04">
            <w:pPr>
              <w:rPr>
                <w:sz w:val="20"/>
              </w:rPr>
            </w:pPr>
            <w:r w:rsidRPr="00226CC6">
              <w:rPr>
                <w:sz w:val="20"/>
              </w:rPr>
              <w:t>Cell efficiency</w:t>
            </w:r>
          </w:p>
        </w:tc>
        <w:tc>
          <w:tcPr>
            <w:tcW w:w="1440" w:type="dxa"/>
          </w:tcPr>
          <w:p w14:paraId="4CBC9BD7" w14:textId="77777777" w:rsidR="00F26929" w:rsidRPr="00226CC6" w:rsidRDefault="00C43B04" w:rsidP="00C43B04">
            <w:pPr>
              <w:rPr>
                <w:sz w:val="20"/>
              </w:rPr>
            </w:pPr>
            <w:r w:rsidRPr="00226CC6">
              <w:rPr>
                <w:sz w:val="20"/>
              </w:rPr>
              <w:t>&gt; 25%</w:t>
            </w:r>
            <w:r w:rsidR="00B40EFE" w:rsidRPr="00226CC6">
              <w:rPr>
                <w:sz w:val="20"/>
              </w:rPr>
              <w:t xml:space="preserve"> efficiency</w:t>
            </w:r>
          </w:p>
        </w:tc>
        <w:tc>
          <w:tcPr>
            <w:tcW w:w="2790" w:type="dxa"/>
          </w:tcPr>
          <w:p w14:paraId="7AB3710D" w14:textId="77777777" w:rsidR="00F26929" w:rsidRPr="00226CC6" w:rsidRDefault="00C43B04" w:rsidP="00C43B04">
            <w:pPr>
              <w:rPr>
                <w:sz w:val="20"/>
              </w:rPr>
            </w:pPr>
            <w:r w:rsidRPr="00226CC6">
              <w:rPr>
                <w:sz w:val="20"/>
              </w:rPr>
              <w:t>Average, standard deviation. At least 10 cells measured under standard conditions. Standard deviation &lt; 1% (absolute efficiency)</w:t>
            </w:r>
          </w:p>
        </w:tc>
        <w:tc>
          <w:tcPr>
            <w:tcW w:w="2610" w:type="dxa"/>
          </w:tcPr>
          <w:p w14:paraId="5104F9C8" w14:textId="77777777" w:rsidR="00F26929" w:rsidRPr="00226CC6" w:rsidRDefault="00C43B04" w:rsidP="00C43B04">
            <w:pPr>
              <w:rPr>
                <w:sz w:val="20"/>
              </w:rPr>
            </w:pPr>
            <w:r w:rsidRPr="00226CC6">
              <w:rPr>
                <w:sz w:val="20"/>
              </w:rPr>
              <w:t>Raw data and report sent to DOE for verification</w:t>
            </w:r>
          </w:p>
        </w:tc>
        <w:tc>
          <w:tcPr>
            <w:tcW w:w="2695" w:type="dxa"/>
          </w:tcPr>
          <w:p w14:paraId="46EF4373" w14:textId="77777777" w:rsidR="00F26929" w:rsidRPr="00226CC6" w:rsidRDefault="00C43B04" w:rsidP="005731F3">
            <w:pPr>
              <w:rPr>
                <w:sz w:val="20"/>
              </w:rPr>
            </w:pPr>
            <w:r w:rsidRPr="00226CC6">
              <w:rPr>
                <w:sz w:val="20"/>
              </w:rPr>
              <w:t>The success value was chosen based on initial cost modeling: efficiency lower than 25% makes this material not competitive with current state of the art</w:t>
            </w:r>
          </w:p>
        </w:tc>
      </w:tr>
      <w:tr w:rsidR="00B77C40" w:rsidRPr="00226CC6" w14:paraId="268C1E62" w14:textId="77777777" w:rsidTr="005D67CB">
        <w:tc>
          <w:tcPr>
            <w:tcW w:w="805" w:type="dxa"/>
          </w:tcPr>
          <w:p w14:paraId="3F631C7E" w14:textId="77777777" w:rsidR="00B77C40" w:rsidRPr="00226CC6" w:rsidRDefault="00B77C40" w:rsidP="00B77C40">
            <w:pPr>
              <w:jc w:val="center"/>
              <w:rPr>
                <w:sz w:val="20"/>
              </w:rPr>
            </w:pPr>
            <w:r w:rsidRPr="00226CC6">
              <w:rPr>
                <w:sz w:val="20"/>
              </w:rPr>
              <w:t>1.1.2</w:t>
            </w:r>
          </w:p>
        </w:tc>
        <w:tc>
          <w:tcPr>
            <w:tcW w:w="1260" w:type="dxa"/>
          </w:tcPr>
          <w:p w14:paraId="5848EE21" w14:textId="77777777" w:rsidR="00B77C40" w:rsidRPr="00226CC6" w:rsidRDefault="00B77C40" w:rsidP="00B77C40">
            <w:pPr>
              <w:jc w:val="center"/>
              <w:rPr>
                <w:sz w:val="20"/>
              </w:rPr>
            </w:pPr>
            <w:r w:rsidRPr="00226CC6">
              <w:rPr>
                <w:sz w:val="20"/>
              </w:rPr>
              <w:t>5</w:t>
            </w:r>
          </w:p>
        </w:tc>
        <w:tc>
          <w:tcPr>
            <w:tcW w:w="1350" w:type="dxa"/>
          </w:tcPr>
          <w:p w14:paraId="00E45876" w14:textId="77777777" w:rsidR="00B77C40" w:rsidRPr="00226CC6" w:rsidRDefault="00B77C40" w:rsidP="00B77C40">
            <w:pPr>
              <w:rPr>
                <w:snapToGrid w:val="0"/>
                <w:color w:val="000000" w:themeColor="text1"/>
                <w:sz w:val="20"/>
              </w:rPr>
            </w:pPr>
            <w:r w:rsidRPr="00226CC6">
              <w:rPr>
                <w:snapToGrid w:val="0"/>
                <w:color w:val="000000" w:themeColor="text1"/>
                <w:sz w:val="20"/>
              </w:rPr>
              <w:t>Receiver efficiency</w:t>
            </w:r>
          </w:p>
        </w:tc>
        <w:tc>
          <w:tcPr>
            <w:tcW w:w="1440" w:type="dxa"/>
          </w:tcPr>
          <w:p w14:paraId="53224CA1" w14:textId="77777777" w:rsidR="00B77C40" w:rsidRPr="00226CC6" w:rsidRDefault="00B77C40" w:rsidP="00B77C40">
            <w:pPr>
              <w:rPr>
                <w:sz w:val="20"/>
              </w:rPr>
            </w:pPr>
            <w:r w:rsidRPr="00226CC6">
              <w:rPr>
                <w:sz w:val="20"/>
              </w:rPr>
              <w:t>90% (optical energy into aperture divided by thermal energy in heat transfer fluid at outlet)</w:t>
            </w:r>
          </w:p>
        </w:tc>
        <w:tc>
          <w:tcPr>
            <w:tcW w:w="2790" w:type="dxa"/>
          </w:tcPr>
          <w:p w14:paraId="65E2AB4E" w14:textId="77777777" w:rsidR="00B77C40" w:rsidRPr="00226CC6" w:rsidRDefault="00B77C40" w:rsidP="00B77C40">
            <w:pPr>
              <w:rPr>
                <w:b/>
                <w:bCs/>
                <w:sz w:val="20"/>
              </w:rPr>
            </w:pPr>
            <w:r w:rsidRPr="00226CC6">
              <w:rPr>
                <w:sz w:val="20"/>
              </w:rPr>
              <w:t>Student’s test with 95% confidence interval, minimum 5 repeat experiments</w:t>
            </w:r>
            <w:r w:rsidRPr="00226CC6">
              <w:rPr>
                <w:b/>
                <w:bCs/>
                <w:sz w:val="20"/>
              </w:rPr>
              <w:t xml:space="preserve"> </w:t>
            </w:r>
          </w:p>
          <w:p w14:paraId="43D2CD71" w14:textId="77777777" w:rsidR="00B77C40" w:rsidRPr="00226CC6" w:rsidRDefault="00B77C40" w:rsidP="00B77C40">
            <w:pPr>
              <w:rPr>
                <w:sz w:val="20"/>
              </w:rPr>
            </w:pPr>
          </w:p>
        </w:tc>
        <w:tc>
          <w:tcPr>
            <w:tcW w:w="2610" w:type="dxa"/>
          </w:tcPr>
          <w:p w14:paraId="0920366E" w14:textId="77777777" w:rsidR="00B77C40" w:rsidRPr="00226CC6" w:rsidRDefault="00B77C40" w:rsidP="00B77C40">
            <w:pPr>
              <w:rPr>
                <w:sz w:val="20"/>
              </w:rPr>
            </w:pPr>
            <w:r w:rsidRPr="00226CC6">
              <w:rPr>
                <w:sz w:val="20"/>
              </w:rPr>
              <w:t>Plot of modeled efficiency vs measured efficiency, for given solar concentration, wind condition, temperature, and flow rate</w:t>
            </w:r>
          </w:p>
          <w:p w14:paraId="33D4CD4A" w14:textId="77777777" w:rsidR="00B77C40" w:rsidRPr="00226CC6" w:rsidRDefault="00B77C40" w:rsidP="00B77C40">
            <w:pPr>
              <w:rPr>
                <w:snapToGrid w:val="0"/>
                <w:sz w:val="20"/>
              </w:rPr>
            </w:pPr>
          </w:p>
        </w:tc>
        <w:tc>
          <w:tcPr>
            <w:tcW w:w="2695" w:type="dxa"/>
          </w:tcPr>
          <w:p w14:paraId="05D4539F" w14:textId="77777777" w:rsidR="00B77C40" w:rsidRPr="00226CC6" w:rsidRDefault="00B77C40" w:rsidP="00B77C40">
            <w:pPr>
              <w:rPr>
                <w:sz w:val="20"/>
              </w:rPr>
            </w:pPr>
            <w:r w:rsidRPr="00226CC6">
              <w:rPr>
                <w:sz w:val="20"/>
              </w:rPr>
              <w:t>1) 90% efficiency is the minimum needed for the integrated system to achieve cost targets</w:t>
            </w:r>
          </w:p>
          <w:p w14:paraId="3D98B608" w14:textId="77777777" w:rsidR="00B77C40" w:rsidRPr="00226CC6" w:rsidRDefault="00B77C40" w:rsidP="00B77C40">
            <w:pPr>
              <w:rPr>
                <w:snapToGrid w:val="0"/>
                <w:color w:val="000000" w:themeColor="text1"/>
                <w:sz w:val="20"/>
              </w:rPr>
            </w:pPr>
            <w:r w:rsidRPr="00226CC6">
              <w:rPr>
                <w:sz w:val="20"/>
              </w:rPr>
              <w:t>2) Model indicates that a 90% efficiency in 10 mph windy conditions translates into a 92% annual efficiency</w:t>
            </w:r>
          </w:p>
        </w:tc>
      </w:tr>
      <w:tr w:rsidR="00B77C40" w:rsidRPr="00226CC6" w14:paraId="39C9B1E8" w14:textId="77777777" w:rsidTr="005D67CB">
        <w:tc>
          <w:tcPr>
            <w:tcW w:w="805" w:type="dxa"/>
          </w:tcPr>
          <w:p w14:paraId="68766865" w14:textId="77777777" w:rsidR="00B77C40" w:rsidRPr="00226CC6" w:rsidRDefault="00B77C40" w:rsidP="00B77C40">
            <w:pPr>
              <w:jc w:val="center"/>
              <w:rPr>
                <w:sz w:val="20"/>
              </w:rPr>
            </w:pPr>
            <w:r w:rsidRPr="00226CC6">
              <w:rPr>
                <w:sz w:val="20"/>
              </w:rPr>
              <w:t>1.1.3</w:t>
            </w:r>
          </w:p>
        </w:tc>
        <w:tc>
          <w:tcPr>
            <w:tcW w:w="1260" w:type="dxa"/>
          </w:tcPr>
          <w:p w14:paraId="218FDFE2" w14:textId="77777777" w:rsidR="00B77C40" w:rsidRPr="00226CC6" w:rsidRDefault="00B77C40" w:rsidP="00B77C40">
            <w:pPr>
              <w:jc w:val="center"/>
              <w:rPr>
                <w:sz w:val="20"/>
              </w:rPr>
            </w:pPr>
            <w:r w:rsidRPr="00226CC6">
              <w:rPr>
                <w:sz w:val="20"/>
              </w:rPr>
              <w:t>6</w:t>
            </w:r>
          </w:p>
        </w:tc>
        <w:tc>
          <w:tcPr>
            <w:tcW w:w="1350" w:type="dxa"/>
          </w:tcPr>
          <w:p w14:paraId="278C97E0" w14:textId="77777777" w:rsidR="00B77C40" w:rsidRPr="00226CC6" w:rsidRDefault="00B77C40" w:rsidP="00B77C40">
            <w:pPr>
              <w:rPr>
                <w:sz w:val="20"/>
              </w:rPr>
            </w:pPr>
            <w:r w:rsidRPr="00226CC6">
              <w:rPr>
                <w:snapToGrid w:val="0"/>
                <w:color w:val="000000" w:themeColor="text1"/>
                <w:sz w:val="20"/>
              </w:rPr>
              <w:t>Circuit model curation</w:t>
            </w:r>
          </w:p>
        </w:tc>
        <w:tc>
          <w:tcPr>
            <w:tcW w:w="1440" w:type="dxa"/>
          </w:tcPr>
          <w:p w14:paraId="57AB3DBF" w14:textId="77777777" w:rsidR="00B77C40" w:rsidRPr="00226CC6" w:rsidRDefault="00B77C40" w:rsidP="00B77C40">
            <w:pPr>
              <w:rPr>
                <w:sz w:val="20"/>
              </w:rPr>
            </w:pPr>
            <w:r w:rsidRPr="00226CC6">
              <w:rPr>
                <w:sz w:val="20"/>
              </w:rPr>
              <w:t>&gt; 30 models, of which at least 20 suitable for testing</w:t>
            </w:r>
          </w:p>
        </w:tc>
        <w:tc>
          <w:tcPr>
            <w:tcW w:w="2790" w:type="dxa"/>
          </w:tcPr>
          <w:p w14:paraId="5F6CAC44" w14:textId="77777777" w:rsidR="00B77C40" w:rsidRPr="00226CC6" w:rsidRDefault="00B77C40" w:rsidP="00B77C40">
            <w:pPr>
              <w:rPr>
                <w:sz w:val="20"/>
              </w:rPr>
            </w:pPr>
            <w:r w:rsidRPr="00226CC6">
              <w:rPr>
                <w:sz w:val="20"/>
              </w:rPr>
              <w:t xml:space="preserve">Count. </w:t>
            </w:r>
            <w:r w:rsidRPr="00226CC6">
              <w:rPr>
                <w:snapToGrid w:val="0"/>
                <w:color w:val="000000" w:themeColor="text1"/>
                <w:sz w:val="20"/>
              </w:rPr>
              <w:t>30 realistic and anonymized candidate distribution circuit models identified, of which at least 20 are suitable for detailed testing</w:t>
            </w:r>
          </w:p>
        </w:tc>
        <w:tc>
          <w:tcPr>
            <w:tcW w:w="2610" w:type="dxa"/>
          </w:tcPr>
          <w:p w14:paraId="67198B69" w14:textId="77777777" w:rsidR="00B77C40" w:rsidRPr="00226CC6" w:rsidRDefault="00B77C40" w:rsidP="00B77C40">
            <w:pPr>
              <w:rPr>
                <w:sz w:val="20"/>
              </w:rPr>
            </w:pPr>
            <w:r w:rsidRPr="00226CC6">
              <w:rPr>
                <w:snapToGrid w:val="0"/>
                <w:sz w:val="20"/>
              </w:rPr>
              <w:t>Report sent to DOE with description of circuit models including</w:t>
            </w:r>
            <w:r w:rsidRPr="00226CC6">
              <w:rPr>
                <w:snapToGrid w:val="0"/>
                <w:color w:val="000000" w:themeColor="text1"/>
                <w:sz w:val="20"/>
              </w:rPr>
              <w:t xml:space="preserve"> load models, impedances, and connectivity characteristics</w:t>
            </w:r>
          </w:p>
        </w:tc>
        <w:tc>
          <w:tcPr>
            <w:tcW w:w="2695" w:type="dxa"/>
          </w:tcPr>
          <w:p w14:paraId="5A062BC3" w14:textId="77777777" w:rsidR="00B77C40" w:rsidRPr="00226CC6" w:rsidRDefault="00B77C40" w:rsidP="00B77C40">
            <w:pPr>
              <w:rPr>
                <w:sz w:val="20"/>
              </w:rPr>
            </w:pPr>
            <w:r w:rsidRPr="00226CC6">
              <w:rPr>
                <w:snapToGrid w:val="0"/>
                <w:color w:val="000000" w:themeColor="text1"/>
                <w:sz w:val="20"/>
              </w:rPr>
              <w:t>Load models, impedances, and connectivity characteristics have to be included in the report to assess the feasibility of the proposed circuits</w:t>
            </w:r>
          </w:p>
        </w:tc>
      </w:tr>
      <w:tr w:rsidR="00B77C40" w:rsidRPr="00226CC6" w14:paraId="14630440" w14:textId="77777777" w:rsidTr="005D67CB">
        <w:tc>
          <w:tcPr>
            <w:tcW w:w="805" w:type="dxa"/>
          </w:tcPr>
          <w:p w14:paraId="09BAD180" w14:textId="77777777" w:rsidR="00B77C40" w:rsidRPr="00226CC6" w:rsidRDefault="00B77C40" w:rsidP="00B77C40">
            <w:pPr>
              <w:jc w:val="center"/>
              <w:rPr>
                <w:sz w:val="20"/>
              </w:rPr>
            </w:pPr>
            <w:r w:rsidRPr="00226CC6">
              <w:rPr>
                <w:sz w:val="20"/>
              </w:rPr>
              <w:t>1.2.1</w:t>
            </w:r>
          </w:p>
        </w:tc>
        <w:tc>
          <w:tcPr>
            <w:tcW w:w="1260" w:type="dxa"/>
          </w:tcPr>
          <w:p w14:paraId="5F03C229" w14:textId="77777777" w:rsidR="00B77C40" w:rsidRPr="00226CC6" w:rsidRDefault="00B77C40" w:rsidP="00B77C40">
            <w:pPr>
              <w:jc w:val="center"/>
              <w:rPr>
                <w:sz w:val="20"/>
              </w:rPr>
            </w:pPr>
            <w:r w:rsidRPr="00226CC6">
              <w:rPr>
                <w:sz w:val="20"/>
              </w:rPr>
              <w:t>10</w:t>
            </w:r>
          </w:p>
        </w:tc>
        <w:tc>
          <w:tcPr>
            <w:tcW w:w="1350" w:type="dxa"/>
          </w:tcPr>
          <w:p w14:paraId="2E3C949C" w14:textId="77777777" w:rsidR="00B77C40" w:rsidRPr="00226CC6" w:rsidRDefault="00B77C40" w:rsidP="00B77C40">
            <w:pPr>
              <w:rPr>
                <w:sz w:val="20"/>
              </w:rPr>
            </w:pPr>
            <w:r w:rsidRPr="00226CC6">
              <w:rPr>
                <w:sz w:val="20"/>
              </w:rPr>
              <w:t>Webinar</w:t>
            </w:r>
          </w:p>
        </w:tc>
        <w:tc>
          <w:tcPr>
            <w:tcW w:w="1440" w:type="dxa"/>
          </w:tcPr>
          <w:p w14:paraId="651DE5DC" w14:textId="77777777" w:rsidR="00B77C40" w:rsidRPr="00226CC6" w:rsidRDefault="00B77C40" w:rsidP="00B77C40">
            <w:pPr>
              <w:rPr>
                <w:sz w:val="20"/>
              </w:rPr>
            </w:pPr>
            <w:r w:rsidRPr="00226CC6">
              <w:rPr>
                <w:sz w:val="20"/>
              </w:rPr>
              <w:t>&gt; 100 participants, of which at least 20 installers and at least 40 developers</w:t>
            </w:r>
          </w:p>
        </w:tc>
        <w:tc>
          <w:tcPr>
            <w:tcW w:w="2790" w:type="dxa"/>
          </w:tcPr>
          <w:p w14:paraId="470803CF" w14:textId="77777777" w:rsidR="00B77C40" w:rsidRPr="00226CC6" w:rsidRDefault="00B77C40" w:rsidP="00B77C40">
            <w:pPr>
              <w:rPr>
                <w:sz w:val="20"/>
              </w:rPr>
            </w:pPr>
            <w:r w:rsidRPr="00226CC6">
              <w:rPr>
                <w:sz w:val="20"/>
              </w:rPr>
              <w:t>Count. A minimum of 100 people should attend for at least 50% of the webinar. The audience should include at least 20 installers operating in the states object of this award, and at least 40 developers. The webinar should include effective ways to engage with the audience, including but not limited to interactive polls</w:t>
            </w:r>
            <w:r w:rsidRPr="00226CC6">
              <w:rPr>
                <w:i/>
                <w:vanish/>
                <w:color w:val="C00000"/>
                <w:sz w:val="20"/>
              </w:rPr>
              <w:t>a</w:t>
            </w:r>
            <w:r w:rsidRPr="00226CC6">
              <w:rPr>
                <w:sz w:val="20"/>
              </w:rPr>
              <w:t xml:space="preserve"> and live Q&amp;A sessions</w:t>
            </w:r>
          </w:p>
        </w:tc>
        <w:tc>
          <w:tcPr>
            <w:tcW w:w="2610" w:type="dxa"/>
          </w:tcPr>
          <w:p w14:paraId="198702B4" w14:textId="77777777" w:rsidR="00B77C40" w:rsidRPr="00226CC6" w:rsidRDefault="00B77C40" w:rsidP="00B77C40">
            <w:pPr>
              <w:rPr>
                <w:sz w:val="20"/>
              </w:rPr>
            </w:pPr>
            <w:r w:rsidRPr="00226CC6">
              <w:rPr>
                <w:sz w:val="20"/>
              </w:rPr>
              <w:t>Link to the webinar sent to DOE before the event. Report sent to DOE including slides presented, list of attendees and their affiliation after the conclusion of the event.</w:t>
            </w:r>
          </w:p>
        </w:tc>
        <w:tc>
          <w:tcPr>
            <w:tcW w:w="2695" w:type="dxa"/>
          </w:tcPr>
          <w:p w14:paraId="6B7F7972" w14:textId="77777777" w:rsidR="00B77C40" w:rsidRPr="00226CC6" w:rsidRDefault="00B77C40" w:rsidP="00B77C40">
            <w:pPr>
              <w:rPr>
                <w:sz w:val="20"/>
              </w:rPr>
            </w:pPr>
            <w:r w:rsidRPr="00226CC6">
              <w:rPr>
                <w:sz w:val="20"/>
              </w:rPr>
              <w:t>Specific audience groups identified to make sure that the relevant stakeholders will receive the content developed during this award.</w:t>
            </w:r>
          </w:p>
        </w:tc>
      </w:tr>
      <w:tr w:rsidR="00B77C40" w:rsidRPr="00226CC6" w14:paraId="237ECED3" w14:textId="77777777" w:rsidTr="005D67CB">
        <w:tc>
          <w:tcPr>
            <w:tcW w:w="805" w:type="dxa"/>
          </w:tcPr>
          <w:p w14:paraId="35A6CC37" w14:textId="77777777" w:rsidR="00B77C40" w:rsidRPr="00226CC6" w:rsidDel="00ED4F71" w:rsidRDefault="00B77C40" w:rsidP="00B77C40">
            <w:pPr>
              <w:jc w:val="center"/>
              <w:rPr>
                <w:sz w:val="20"/>
              </w:rPr>
            </w:pPr>
            <w:r w:rsidRPr="00226CC6">
              <w:rPr>
                <w:sz w:val="20"/>
              </w:rPr>
              <w:lastRenderedPageBreak/>
              <w:t>1.3.1</w:t>
            </w:r>
          </w:p>
        </w:tc>
        <w:tc>
          <w:tcPr>
            <w:tcW w:w="1260" w:type="dxa"/>
          </w:tcPr>
          <w:p w14:paraId="5AF51FF6" w14:textId="77777777" w:rsidR="00B77C40" w:rsidRPr="00226CC6" w:rsidRDefault="00B77C40" w:rsidP="00B77C40">
            <w:pPr>
              <w:jc w:val="center"/>
              <w:rPr>
                <w:sz w:val="20"/>
              </w:rPr>
            </w:pPr>
            <w:r w:rsidRPr="00226CC6">
              <w:rPr>
                <w:sz w:val="20"/>
              </w:rPr>
              <w:t>11</w:t>
            </w:r>
          </w:p>
        </w:tc>
        <w:tc>
          <w:tcPr>
            <w:tcW w:w="1350" w:type="dxa"/>
          </w:tcPr>
          <w:p w14:paraId="08D8133C" w14:textId="77777777" w:rsidR="00B77C40" w:rsidRPr="00226CC6" w:rsidRDefault="00B77C40" w:rsidP="00B77C40">
            <w:pPr>
              <w:rPr>
                <w:sz w:val="20"/>
              </w:rPr>
            </w:pPr>
            <w:r w:rsidRPr="00226CC6">
              <w:rPr>
                <w:sz w:val="20"/>
              </w:rPr>
              <w:t>Feedback</w:t>
            </w:r>
          </w:p>
        </w:tc>
        <w:tc>
          <w:tcPr>
            <w:tcW w:w="1440" w:type="dxa"/>
          </w:tcPr>
          <w:p w14:paraId="6466A9BB" w14:textId="77777777" w:rsidR="00B77C40" w:rsidRPr="00226CC6" w:rsidRDefault="00B77C40" w:rsidP="00B77C40">
            <w:pPr>
              <w:rPr>
                <w:sz w:val="20"/>
              </w:rPr>
            </w:pPr>
            <w:r w:rsidRPr="00226CC6">
              <w:rPr>
                <w:sz w:val="20"/>
              </w:rPr>
              <w:t>&gt; 10 potential users</w:t>
            </w:r>
          </w:p>
        </w:tc>
        <w:tc>
          <w:tcPr>
            <w:tcW w:w="2790" w:type="dxa"/>
          </w:tcPr>
          <w:p w14:paraId="518A48F8" w14:textId="77777777" w:rsidR="00B77C40" w:rsidRPr="00226CC6" w:rsidRDefault="00B77C40" w:rsidP="00B77C40">
            <w:pPr>
              <w:rPr>
                <w:sz w:val="20"/>
              </w:rPr>
            </w:pPr>
            <w:r w:rsidRPr="00226CC6">
              <w:rPr>
                <w:sz w:val="20"/>
              </w:rPr>
              <w:t>Count. A minimum of 10 potential users of the tool will undergo a demo of the software (in-person or webinar) and provide their feedback. Users must provide specific feedback as to the minimum availability and response time they require for their specific use case.</w:t>
            </w:r>
          </w:p>
        </w:tc>
        <w:tc>
          <w:tcPr>
            <w:tcW w:w="2610" w:type="dxa"/>
          </w:tcPr>
          <w:p w14:paraId="411E2A5C" w14:textId="77777777" w:rsidR="00B77C40" w:rsidRPr="00226CC6" w:rsidRDefault="00B77C40" w:rsidP="00B77C40">
            <w:pPr>
              <w:rPr>
                <w:sz w:val="20"/>
              </w:rPr>
            </w:pPr>
            <w:r w:rsidRPr="00226CC6">
              <w:rPr>
                <w:sz w:val="20"/>
              </w:rPr>
              <w:t>Documentation of feedback, written approval/signature from feedback providers, and a justified plan to implement or reject recommendations submitted to DOE. Documentation should also include the proposal for availability and response time metrics with justification from the feedback providers.</w:t>
            </w:r>
          </w:p>
        </w:tc>
        <w:tc>
          <w:tcPr>
            <w:tcW w:w="2695" w:type="dxa"/>
          </w:tcPr>
          <w:p w14:paraId="3D4BE436" w14:textId="77777777" w:rsidR="00B77C40" w:rsidRPr="00226CC6" w:rsidRDefault="00B77C40" w:rsidP="00B77C40">
            <w:pPr>
              <w:rPr>
                <w:sz w:val="20"/>
              </w:rPr>
            </w:pPr>
            <w:r w:rsidRPr="00226CC6">
              <w:rPr>
                <w:sz w:val="20"/>
              </w:rPr>
              <w:t>User feedback is a critical part of an iterative development cycle to ensure the solution is useful to potential off-takers.</w:t>
            </w:r>
          </w:p>
        </w:tc>
      </w:tr>
      <w:tr w:rsidR="00B77C40" w:rsidRPr="00226CC6" w14:paraId="6D68DFBC" w14:textId="77777777" w:rsidTr="005D67CB">
        <w:tc>
          <w:tcPr>
            <w:tcW w:w="805" w:type="dxa"/>
            <w:shd w:val="clear" w:color="auto" w:fill="FABF8F" w:themeFill="accent6" w:themeFillTint="99"/>
          </w:tcPr>
          <w:p w14:paraId="52D13B02" w14:textId="77777777" w:rsidR="00B77C40" w:rsidRPr="00226CC6" w:rsidRDefault="00B77C40" w:rsidP="00B77C40">
            <w:pPr>
              <w:jc w:val="center"/>
              <w:rPr>
                <w:sz w:val="20"/>
              </w:rPr>
            </w:pPr>
            <w:r w:rsidRPr="00226CC6">
              <w:rPr>
                <w:sz w:val="20"/>
              </w:rPr>
              <w:t>GNG-1A</w:t>
            </w:r>
          </w:p>
        </w:tc>
        <w:tc>
          <w:tcPr>
            <w:tcW w:w="1260" w:type="dxa"/>
            <w:shd w:val="clear" w:color="auto" w:fill="FABF8F" w:themeFill="accent6" w:themeFillTint="99"/>
          </w:tcPr>
          <w:p w14:paraId="3FD1AB12" w14:textId="77777777" w:rsidR="00B77C40" w:rsidRPr="00226CC6" w:rsidRDefault="00B77C40" w:rsidP="00B77C40">
            <w:pPr>
              <w:jc w:val="center"/>
              <w:rPr>
                <w:sz w:val="20"/>
              </w:rPr>
            </w:pPr>
            <w:r w:rsidRPr="00226CC6">
              <w:rPr>
                <w:sz w:val="20"/>
              </w:rPr>
              <w:t>12</w:t>
            </w:r>
          </w:p>
        </w:tc>
        <w:tc>
          <w:tcPr>
            <w:tcW w:w="1350" w:type="dxa"/>
            <w:shd w:val="clear" w:color="auto" w:fill="FABF8F" w:themeFill="accent6" w:themeFillTint="99"/>
          </w:tcPr>
          <w:p w14:paraId="699CA83B" w14:textId="77777777" w:rsidR="00B77C40" w:rsidRPr="00226CC6" w:rsidRDefault="00B77C40" w:rsidP="00B77C40">
            <w:pPr>
              <w:rPr>
                <w:sz w:val="20"/>
              </w:rPr>
            </w:pPr>
            <w:r w:rsidRPr="00226CC6">
              <w:rPr>
                <w:sz w:val="20"/>
              </w:rPr>
              <w:t>Module lifetime</w:t>
            </w:r>
          </w:p>
        </w:tc>
        <w:tc>
          <w:tcPr>
            <w:tcW w:w="1440" w:type="dxa"/>
            <w:shd w:val="clear" w:color="auto" w:fill="FABF8F" w:themeFill="accent6" w:themeFillTint="99"/>
          </w:tcPr>
          <w:p w14:paraId="39EEBF58" w14:textId="77777777" w:rsidR="00B77C40" w:rsidRPr="00226CC6" w:rsidRDefault="00B77C40" w:rsidP="00B77C40">
            <w:pPr>
              <w:rPr>
                <w:sz w:val="20"/>
              </w:rPr>
            </w:pPr>
            <w:r w:rsidRPr="00226CC6">
              <w:rPr>
                <w:sz w:val="20"/>
              </w:rPr>
              <w:t>&gt; 30 years</w:t>
            </w:r>
          </w:p>
        </w:tc>
        <w:tc>
          <w:tcPr>
            <w:tcW w:w="2790" w:type="dxa"/>
            <w:shd w:val="clear" w:color="auto" w:fill="FABF8F" w:themeFill="accent6" w:themeFillTint="99"/>
          </w:tcPr>
          <w:p w14:paraId="172F59A1" w14:textId="77777777" w:rsidR="00B77C40" w:rsidRPr="00226CC6" w:rsidRDefault="00B77C40" w:rsidP="00B77C40">
            <w:pPr>
              <w:rPr>
                <w:sz w:val="20"/>
              </w:rPr>
            </w:pPr>
            <w:r w:rsidRPr="00226CC6">
              <w:rPr>
                <w:sz w:val="20"/>
              </w:rPr>
              <w:t xml:space="preserve">Accelerated testing conducted according to testing procedures listed in IEC 1234 </w:t>
            </w:r>
          </w:p>
        </w:tc>
        <w:tc>
          <w:tcPr>
            <w:tcW w:w="2610" w:type="dxa"/>
            <w:shd w:val="clear" w:color="auto" w:fill="FABF8F" w:themeFill="accent6" w:themeFillTint="99"/>
          </w:tcPr>
          <w:p w14:paraId="0E8E33FB" w14:textId="77777777" w:rsidR="00B77C40" w:rsidRPr="00226CC6" w:rsidRDefault="00B77C40" w:rsidP="00B77C40">
            <w:pPr>
              <w:rPr>
                <w:sz w:val="20"/>
              </w:rPr>
            </w:pPr>
            <w:r w:rsidRPr="00226CC6">
              <w:rPr>
                <w:sz w:val="20"/>
              </w:rPr>
              <w:t>Measured at testing facility approved by DOE. Data and report sent to DOE for verification</w:t>
            </w:r>
          </w:p>
        </w:tc>
        <w:tc>
          <w:tcPr>
            <w:tcW w:w="2695" w:type="dxa"/>
            <w:shd w:val="clear" w:color="auto" w:fill="FABF8F" w:themeFill="accent6" w:themeFillTint="99"/>
          </w:tcPr>
          <w:p w14:paraId="006CEA65" w14:textId="77777777" w:rsidR="00B77C40" w:rsidRPr="00226CC6" w:rsidRDefault="00B77C40" w:rsidP="00B77C40">
            <w:pPr>
              <w:rPr>
                <w:sz w:val="20"/>
              </w:rPr>
            </w:pPr>
            <w:r w:rsidRPr="00226CC6">
              <w:rPr>
                <w:sz w:val="20"/>
              </w:rPr>
              <w:t>IEC 1234 is the industry-used module degradation test</w:t>
            </w:r>
          </w:p>
        </w:tc>
      </w:tr>
      <w:tr w:rsidR="00B77C40" w:rsidRPr="00226CC6" w14:paraId="79F503A2" w14:textId="77777777" w:rsidTr="005D67CB">
        <w:trPr>
          <w:trHeight w:val="20"/>
        </w:trPr>
        <w:tc>
          <w:tcPr>
            <w:tcW w:w="805" w:type="dxa"/>
            <w:shd w:val="clear" w:color="auto" w:fill="FABF8F" w:themeFill="accent6" w:themeFillTint="99"/>
          </w:tcPr>
          <w:p w14:paraId="6B5C0E3B" w14:textId="77777777" w:rsidR="00B77C40" w:rsidRPr="00226CC6" w:rsidRDefault="00B77C40" w:rsidP="00B77C40">
            <w:pPr>
              <w:jc w:val="center"/>
              <w:rPr>
                <w:sz w:val="20"/>
              </w:rPr>
            </w:pPr>
            <w:r w:rsidRPr="00226CC6">
              <w:rPr>
                <w:sz w:val="20"/>
              </w:rPr>
              <w:t>GNG-1B</w:t>
            </w:r>
          </w:p>
        </w:tc>
        <w:tc>
          <w:tcPr>
            <w:tcW w:w="1260" w:type="dxa"/>
            <w:shd w:val="clear" w:color="auto" w:fill="FABF8F" w:themeFill="accent6" w:themeFillTint="99"/>
          </w:tcPr>
          <w:p w14:paraId="459AD835" w14:textId="77777777" w:rsidR="00B77C40" w:rsidRPr="00226CC6" w:rsidRDefault="00B77C40" w:rsidP="00B77C40">
            <w:pPr>
              <w:jc w:val="center"/>
              <w:rPr>
                <w:sz w:val="20"/>
              </w:rPr>
            </w:pPr>
            <w:r w:rsidRPr="00226CC6">
              <w:rPr>
                <w:sz w:val="20"/>
              </w:rPr>
              <w:t>12</w:t>
            </w:r>
          </w:p>
        </w:tc>
        <w:tc>
          <w:tcPr>
            <w:tcW w:w="1350" w:type="dxa"/>
            <w:shd w:val="clear" w:color="auto" w:fill="FABF8F" w:themeFill="accent6" w:themeFillTint="99"/>
          </w:tcPr>
          <w:p w14:paraId="60653CF2" w14:textId="77777777" w:rsidR="00B77C40" w:rsidRPr="00226CC6" w:rsidRDefault="00B77C40" w:rsidP="00B77C40">
            <w:pPr>
              <w:rPr>
                <w:sz w:val="20"/>
              </w:rPr>
            </w:pPr>
            <w:r w:rsidRPr="00226CC6">
              <w:rPr>
                <w:sz w:val="20"/>
              </w:rPr>
              <w:t>Heliostat installed cost</w:t>
            </w:r>
          </w:p>
        </w:tc>
        <w:tc>
          <w:tcPr>
            <w:tcW w:w="1440" w:type="dxa"/>
            <w:shd w:val="clear" w:color="auto" w:fill="FABF8F" w:themeFill="accent6" w:themeFillTint="99"/>
          </w:tcPr>
          <w:p w14:paraId="26E00BFF" w14:textId="77777777" w:rsidR="00B77C40" w:rsidRPr="00226CC6" w:rsidRDefault="00B77C40" w:rsidP="00B77C40">
            <w:pPr>
              <w:rPr>
                <w:sz w:val="20"/>
              </w:rPr>
            </w:pPr>
            <w:r w:rsidRPr="00226CC6">
              <w:rPr>
                <w:sz w:val="20"/>
              </w:rPr>
              <w:t>≤ $50/m2</w:t>
            </w:r>
          </w:p>
        </w:tc>
        <w:tc>
          <w:tcPr>
            <w:tcW w:w="2790" w:type="dxa"/>
            <w:shd w:val="clear" w:color="auto" w:fill="FABF8F" w:themeFill="accent6" w:themeFillTint="99"/>
          </w:tcPr>
          <w:p w14:paraId="7C3907AE" w14:textId="77777777" w:rsidR="00B77C40" w:rsidRPr="00226CC6" w:rsidRDefault="00B77C40" w:rsidP="00B77C40">
            <w:pPr>
              <w:rPr>
                <w:sz w:val="20"/>
              </w:rPr>
            </w:pPr>
            <w:r w:rsidRPr="00226CC6">
              <w:rPr>
                <w:sz w:val="20"/>
              </w:rPr>
              <w:t>Class 3 cost estimate conforming to DOE G 413.3-21 Cost Estimating Guide.  Average expected accuracy range +20%/-15%</w:t>
            </w:r>
          </w:p>
        </w:tc>
        <w:tc>
          <w:tcPr>
            <w:tcW w:w="2610" w:type="dxa"/>
            <w:shd w:val="clear" w:color="auto" w:fill="FABF8F" w:themeFill="accent6" w:themeFillTint="99"/>
          </w:tcPr>
          <w:p w14:paraId="32E89A71" w14:textId="77777777" w:rsidR="00B77C40" w:rsidRPr="00226CC6" w:rsidRDefault="00B77C40" w:rsidP="00B77C40">
            <w:pPr>
              <w:rPr>
                <w:sz w:val="20"/>
              </w:rPr>
            </w:pPr>
            <w:r w:rsidRPr="00226CC6">
              <w:rPr>
                <w:sz w:val="20"/>
              </w:rPr>
              <w:t>Cost model sent to DOE, including assumptions used for input parameters, methodology for the sensitivity analysis, supporting documents used to determine the bill of materials.</w:t>
            </w:r>
          </w:p>
        </w:tc>
        <w:tc>
          <w:tcPr>
            <w:tcW w:w="2695" w:type="dxa"/>
            <w:shd w:val="clear" w:color="auto" w:fill="FABF8F" w:themeFill="accent6" w:themeFillTint="99"/>
          </w:tcPr>
          <w:p w14:paraId="2079C130" w14:textId="77777777" w:rsidR="00B77C40" w:rsidRPr="00226CC6" w:rsidRDefault="00B77C40" w:rsidP="00B77C40">
            <w:pPr>
              <w:rPr>
                <w:sz w:val="20"/>
              </w:rPr>
            </w:pPr>
            <w:r w:rsidRPr="00226CC6">
              <w:rPr>
                <w:sz w:val="20"/>
              </w:rPr>
              <w:t>Success metrics defined in the FOA</w:t>
            </w:r>
          </w:p>
        </w:tc>
      </w:tr>
      <w:tr w:rsidR="00B77C40" w:rsidRPr="00226CC6" w14:paraId="781B680E" w14:textId="77777777" w:rsidTr="005D67CB">
        <w:tc>
          <w:tcPr>
            <w:tcW w:w="805" w:type="dxa"/>
            <w:shd w:val="clear" w:color="auto" w:fill="FABF8F" w:themeFill="accent6" w:themeFillTint="99"/>
          </w:tcPr>
          <w:p w14:paraId="47995CB4" w14:textId="77777777" w:rsidR="00B77C40" w:rsidRPr="00226CC6" w:rsidRDefault="00B77C40" w:rsidP="00B77C40">
            <w:pPr>
              <w:jc w:val="center"/>
              <w:rPr>
                <w:sz w:val="20"/>
              </w:rPr>
            </w:pPr>
            <w:r w:rsidRPr="00226CC6">
              <w:rPr>
                <w:sz w:val="20"/>
              </w:rPr>
              <w:t>GNG-1C</w:t>
            </w:r>
          </w:p>
        </w:tc>
        <w:tc>
          <w:tcPr>
            <w:tcW w:w="1260" w:type="dxa"/>
            <w:shd w:val="clear" w:color="auto" w:fill="FABF8F" w:themeFill="accent6" w:themeFillTint="99"/>
          </w:tcPr>
          <w:p w14:paraId="61865329" w14:textId="77777777" w:rsidR="00B77C40" w:rsidRPr="00226CC6" w:rsidRDefault="00B77C40" w:rsidP="00B77C40">
            <w:pPr>
              <w:jc w:val="center"/>
              <w:rPr>
                <w:sz w:val="20"/>
              </w:rPr>
            </w:pPr>
            <w:r w:rsidRPr="00226CC6">
              <w:rPr>
                <w:sz w:val="20"/>
              </w:rPr>
              <w:t>12</w:t>
            </w:r>
          </w:p>
        </w:tc>
        <w:tc>
          <w:tcPr>
            <w:tcW w:w="1350" w:type="dxa"/>
            <w:shd w:val="clear" w:color="auto" w:fill="FABF8F" w:themeFill="accent6" w:themeFillTint="99"/>
          </w:tcPr>
          <w:p w14:paraId="793129B4" w14:textId="77777777" w:rsidR="00B77C40" w:rsidRPr="00226CC6" w:rsidRDefault="00B77C40" w:rsidP="00B77C40">
            <w:pPr>
              <w:rPr>
                <w:sz w:val="20"/>
              </w:rPr>
            </w:pPr>
            <w:r w:rsidRPr="00226CC6">
              <w:rPr>
                <w:sz w:val="20"/>
              </w:rPr>
              <w:t xml:space="preserve">Letters of Support  </w:t>
            </w:r>
          </w:p>
        </w:tc>
        <w:tc>
          <w:tcPr>
            <w:tcW w:w="1440" w:type="dxa"/>
            <w:shd w:val="clear" w:color="auto" w:fill="FABF8F" w:themeFill="accent6" w:themeFillTint="99"/>
          </w:tcPr>
          <w:p w14:paraId="6E19C81D" w14:textId="77777777" w:rsidR="00B77C40" w:rsidRPr="00226CC6" w:rsidRDefault="00B77C40" w:rsidP="00B77C40">
            <w:pPr>
              <w:rPr>
                <w:sz w:val="20"/>
              </w:rPr>
            </w:pPr>
            <w:r w:rsidRPr="00226CC6">
              <w:rPr>
                <w:sz w:val="20"/>
              </w:rPr>
              <w:t>5 letters</w:t>
            </w:r>
          </w:p>
        </w:tc>
        <w:tc>
          <w:tcPr>
            <w:tcW w:w="2790" w:type="dxa"/>
            <w:shd w:val="clear" w:color="auto" w:fill="FABF8F" w:themeFill="accent6" w:themeFillTint="99"/>
          </w:tcPr>
          <w:p w14:paraId="6E1EE5C3" w14:textId="77777777" w:rsidR="00B77C40" w:rsidRPr="00226CC6" w:rsidRDefault="00B77C40" w:rsidP="00B77C40">
            <w:pPr>
              <w:rPr>
                <w:sz w:val="20"/>
              </w:rPr>
            </w:pPr>
            <w:r w:rsidRPr="00226CC6">
              <w:rPr>
                <w:sz w:val="20"/>
              </w:rPr>
              <w:t>Count. A minimum of 5 letters of support from domestic manufacturers. Includes one module producer with capacity over 200MW annually.</w:t>
            </w:r>
          </w:p>
        </w:tc>
        <w:tc>
          <w:tcPr>
            <w:tcW w:w="2610" w:type="dxa"/>
            <w:shd w:val="clear" w:color="auto" w:fill="FABF8F" w:themeFill="accent6" w:themeFillTint="99"/>
          </w:tcPr>
          <w:p w14:paraId="326152F7" w14:textId="77777777" w:rsidR="00B77C40" w:rsidRPr="00226CC6" w:rsidRDefault="00B77C40" w:rsidP="00B77C40">
            <w:pPr>
              <w:rPr>
                <w:sz w:val="20"/>
              </w:rPr>
            </w:pPr>
            <w:r w:rsidRPr="00226CC6">
              <w:rPr>
                <w:sz w:val="20"/>
              </w:rPr>
              <w:t>Letters delivered to DOE</w:t>
            </w:r>
          </w:p>
        </w:tc>
        <w:tc>
          <w:tcPr>
            <w:tcW w:w="2695" w:type="dxa"/>
            <w:shd w:val="clear" w:color="auto" w:fill="FABF8F" w:themeFill="accent6" w:themeFillTint="99"/>
          </w:tcPr>
          <w:p w14:paraId="5AB8A193" w14:textId="77777777" w:rsidR="00B77C40" w:rsidRPr="00226CC6" w:rsidRDefault="00B77C40" w:rsidP="00B77C40">
            <w:pPr>
              <w:rPr>
                <w:sz w:val="20"/>
              </w:rPr>
            </w:pPr>
            <w:r w:rsidRPr="00226CC6">
              <w:rPr>
                <w:sz w:val="20"/>
              </w:rPr>
              <w:t>Engaging with a large domestic module manufacturers is essential to show there are interested technology off-takers</w:t>
            </w:r>
          </w:p>
        </w:tc>
      </w:tr>
      <w:tr w:rsidR="00B77C40" w:rsidRPr="00226CC6" w14:paraId="41237827" w14:textId="77777777" w:rsidTr="005D67CB">
        <w:tc>
          <w:tcPr>
            <w:tcW w:w="805" w:type="dxa"/>
            <w:shd w:val="clear" w:color="auto" w:fill="FABF8F" w:themeFill="accent6" w:themeFillTint="99"/>
          </w:tcPr>
          <w:p w14:paraId="4E73D141" w14:textId="77777777" w:rsidR="00B77C40" w:rsidRPr="00226CC6" w:rsidRDefault="00B77C40" w:rsidP="00B77C40">
            <w:pPr>
              <w:jc w:val="center"/>
              <w:rPr>
                <w:sz w:val="20"/>
              </w:rPr>
            </w:pPr>
            <w:r w:rsidRPr="00226CC6">
              <w:rPr>
                <w:sz w:val="20"/>
              </w:rPr>
              <w:t>GNG-1D</w:t>
            </w:r>
          </w:p>
        </w:tc>
        <w:tc>
          <w:tcPr>
            <w:tcW w:w="1260" w:type="dxa"/>
            <w:shd w:val="clear" w:color="auto" w:fill="FABF8F" w:themeFill="accent6" w:themeFillTint="99"/>
          </w:tcPr>
          <w:p w14:paraId="4C2F814E" w14:textId="77777777" w:rsidR="00B77C40" w:rsidRPr="00226CC6" w:rsidRDefault="00B77C40" w:rsidP="00B77C40">
            <w:pPr>
              <w:jc w:val="center"/>
              <w:rPr>
                <w:sz w:val="20"/>
              </w:rPr>
            </w:pPr>
            <w:r w:rsidRPr="00226CC6">
              <w:rPr>
                <w:sz w:val="20"/>
              </w:rPr>
              <w:t>12</w:t>
            </w:r>
          </w:p>
        </w:tc>
        <w:tc>
          <w:tcPr>
            <w:tcW w:w="1350" w:type="dxa"/>
            <w:shd w:val="clear" w:color="auto" w:fill="FABF8F" w:themeFill="accent6" w:themeFillTint="99"/>
          </w:tcPr>
          <w:p w14:paraId="55806D3E" w14:textId="77777777" w:rsidR="00B77C40" w:rsidRPr="00226CC6" w:rsidRDefault="00B77C40" w:rsidP="00B77C40">
            <w:pPr>
              <w:rPr>
                <w:sz w:val="20"/>
              </w:rPr>
            </w:pPr>
            <w:r w:rsidRPr="00226CC6">
              <w:rPr>
                <w:sz w:val="20"/>
              </w:rPr>
              <w:t xml:space="preserve">Availability and response time of API </w:t>
            </w:r>
            <w:r w:rsidRPr="00226CC6">
              <w:rPr>
                <w:sz w:val="20"/>
              </w:rPr>
              <w:lastRenderedPageBreak/>
              <w:t>addressable database</w:t>
            </w:r>
          </w:p>
        </w:tc>
        <w:tc>
          <w:tcPr>
            <w:tcW w:w="1440" w:type="dxa"/>
            <w:shd w:val="clear" w:color="auto" w:fill="FABF8F" w:themeFill="accent6" w:themeFillTint="99"/>
          </w:tcPr>
          <w:p w14:paraId="3AEBD08B" w14:textId="77777777" w:rsidR="00B77C40" w:rsidRPr="00226CC6" w:rsidRDefault="00B77C40" w:rsidP="00B77C40">
            <w:pPr>
              <w:rPr>
                <w:sz w:val="20"/>
              </w:rPr>
            </w:pPr>
            <w:r w:rsidRPr="00226CC6">
              <w:rPr>
                <w:sz w:val="20"/>
              </w:rPr>
              <w:lastRenderedPageBreak/>
              <w:t xml:space="preserve">Availability </w:t>
            </w:r>
          </w:p>
          <w:p w14:paraId="03AC495B" w14:textId="77777777" w:rsidR="00B77C40" w:rsidRPr="00226CC6" w:rsidRDefault="00B77C40" w:rsidP="00B77C40">
            <w:pPr>
              <w:rPr>
                <w:sz w:val="20"/>
              </w:rPr>
            </w:pPr>
            <w:r w:rsidRPr="00226CC6">
              <w:rPr>
                <w:sz w:val="20"/>
              </w:rPr>
              <w:t xml:space="preserve">and response time metrics determined </w:t>
            </w:r>
            <w:r w:rsidRPr="00226CC6">
              <w:rPr>
                <w:sz w:val="20"/>
              </w:rPr>
              <w:lastRenderedPageBreak/>
              <w:t>and agreed to in Milestone 1.4</w:t>
            </w:r>
          </w:p>
        </w:tc>
        <w:tc>
          <w:tcPr>
            <w:tcW w:w="2790" w:type="dxa"/>
            <w:shd w:val="clear" w:color="auto" w:fill="FABF8F" w:themeFill="accent6" w:themeFillTint="99"/>
          </w:tcPr>
          <w:p w14:paraId="0386C7E8" w14:textId="77777777" w:rsidR="00B77C40" w:rsidRPr="00226CC6" w:rsidRDefault="00B77C40" w:rsidP="00B77C40">
            <w:pPr>
              <w:rPr>
                <w:sz w:val="20"/>
              </w:rPr>
            </w:pPr>
            <w:r w:rsidRPr="00226CC6">
              <w:rPr>
                <w:sz w:val="20"/>
              </w:rPr>
              <w:lastRenderedPageBreak/>
              <w:t>Ingest data, including time-series,</w:t>
            </w:r>
            <w:r w:rsidRPr="00226CC6">
              <w:t xml:space="preserve"> </w:t>
            </w:r>
            <w:r w:rsidRPr="00226CC6">
              <w:rPr>
                <w:sz w:val="20"/>
              </w:rPr>
              <w:t xml:space="preserve">containing a minimum of 1 year of historical data representing a fleet of 10 GW </w:t>
            </w:r>
            <w:r w:rsidRPr="00226CC6">
              <w:rPr>
                <w:sz w:val="20"/>
              </w:rPr>
              <w:lastRenderedPageBreak/>
              <w:t>or solar to an API-addressable database. Conduct at least 50 randomized queries over a period of 7 days and track results.</w:t>
            </w:r>
          </w:p>
        </w:tc>
        <w:tc>
          <w:tcPr>
            <w:tcW w:w="2610" w:type="dxa"/>
            <w:shd w:val="clear" w:color="auto" w:fill="FABF8F" w:themeFill="accent6" w:themeFillTint="99"/>
          </w:tcPr>
          <w:p w14:paraId="64AFCA53" w14:textId="77777777" w:rsidR="00B77C40" w:rsidRPr="00226CC6" w:rsidRDefault="00B77C40" w:rsidP="00B77C40">
            <w:pPr>
              <w:rPr>
                <w:sz w:val="20"/>
              </w:rPr>
            </w:pPr>
            <w:r w:rsidRPr="00226CC6">
              <w:rPr>
                <w:sz w:val="20"/>
              </w:rPr>
              <w:lastRenderedPageBreak/>
              <w:t xml:space="preserve">Live demonstration of subset of queries and supporting documentation including operations report and logs </w:t>
            </w:r>
            <w:r w:rsidRPr="00226CC6">
              <w:rPr>
                <w:sz w:val="20"/>
              </w:rPr>
              <w:lastRenderedPageBreak/>
              <w:t>collected during randomized testing.</w:t>
            </w:r>
          </w:p>
        </w:tc>
        <w:tc>
          <w:tcPr>
            <w:tcW w:w="2695" w:type="dxa"/>
            <w:shd w:val="clear" w:color="auto" w:fill="FABF8F" w:themeFill="accent6" w:themeFillTint="99"/>
          </w:tcPr>
          <w:p w14:paraId="46F1B116" w14:textId="77777777" w:rsidR="00B77C40" w:rsidRPr="00226CC6" w:rsidRDefault="00B77C40" w:rsidP="00B77C40">
            <w:pPr>
              <w:rPr>
                <w:sz w:val="20"/>
              </w:rPr>
            </w:pPr>
            <w:r w:rsidRPr="00226CC6">
              <w:rPr>
                <w:sz w:val="20"/>
              </w:rPr>
              <w:lastRenderedPageBreak/>
              <w:t xml:space="preserve">To be commercially relevant, the database software under development must meet metrics identified by potential </w:t>
            </w:r>
            <w:r w:rsidRPr="00226CC6">
              <w:rPr>
                <w:sz w:val="20"/>
              </w:rPr>
              <w:lastRenderedPageBreak/>
              <w:t>users at a scale that is relevant to their use cases.</w:t>
            </w:r>
          </w:p>
        </w:tc>
      </w:tr>
      <w:tr w:rsidR="00B77C40" w:rsidRPr="00226CC6" w14:paraId="470A7007" w14:textId="77777777" w:rsidTr="005D67CB">
        <w:tc>
          <w:tcPr>
            <w:tcW w:w="805" w:type="dxa"/>
          </w:tcPr>
          <w:p w14:paraId="08C53DDF" w14:textId="77777777" w:rsidR="00B77C40" w:rsidRPr="00226CC6" w:rsidRDefault="00B77C40" w:rsidP="00B77C40">
            <w:pPr>
              <w:jc w:val="center"/>
              <w:rPr>
                <w:sz w:val="20"/>
              </w:rPr>
            </w:pPr>
            <w:r w:rsidRPr="00226CC6">
              <w:rPr>
                <w:sz w:val="20"/>
              </w:rPr>
              <w:lastRenderedPageBreak/>
              <w:t>2.1.1</w:t>
            </w:r>
          </w:p>
        </w:tc>
        <w:tc>
          <w:tcPr>
            <w:tcW w:w="1260" w:type="dxa"/>
          </w:tcPr>
          <w:p w14:paraId="11E3555A" w14:textId="77777777" w:rsidR="00B77C40" w:rsidRPr="00226CC6" w:rsidRDefault="00B77C40" w:rsidP="00B77C40">
            <w:pPr>
              <w:jc w:val="center"/>
              <w:rPr>
                <w:sz w:val="20"/>
              </w:rPr>
            </w:pPr>
            <w:r w:rsidRPr="00226CC6">
              <w:rPr>
                <w:sz w:val="20"/>
              </w:rPr>
              <w:t>14</w:t>
            </w:r>
          </w:p>
        </w:tc>
        <w:tc>
          <w:tcPr>
            <w:tcW w:w="1350" w:type="dxa"/>
          </w:tcPr>
          <w:p w14:paraId="594E2028" w14:textId="77777777" w:rsidR="00B77C40" w:rsidRPr="00226CC6" w:rsidRDefault="00B77C40" w:rsidP="00B77C40">
            <w:pPr>
              <w:rPr>
                <w:sz w:val="20"/>
              </w:rPr>
            </w:pPr>
            <w:r w:rsidRPr="00226CC6">
              <w:rPr>
                <w:sz w:val="20"/>
              </w:rPr>
              <w:t>Simulation validation</w:t>
            </w:r>
          </w:p>
        </w:tc>
        <w:tc>
          <w:tcPr>
            <w:tcW w:w="1440" w:type="dxa"/>
          </w:tcPr>
          <w:p w14:paraId="25347CCB" w14:textId="77777777" w:rsidR="00B77C40" w:rsidRPr="00226CC6" w:rsidRDefault="00B77C40" w:rsidP="00B77C40">
            <w:pPr>
              <w:rPr>
                <w:sz w:val="20"/>
              </w:rPr>
            </w:pPr>
            <w:r w:rsidRPr="00226CC6">
              <w:rPr>
                <w:sz w:val="20"/>
              </w:rPr>
              <w:t>Single feeder simulation</w:t>
            </w:r>
          </w:p>
        </w:tc>
        <w:tc>
          <w:tcPr>
            <w:tcW w:w="2790" w:type="dxa"/>
          </w:tcPr>
          <w:p w14:paraId="69A43E8D" w14:textId="77777777" w:rsidR="00B77C40" w:rsidRPr="00226CC6" w:rsidRDefault="00B77C40" w:rsidP="00B77C40">
            <w:pPr>
              <w:rPr>
                <w:sz w:val="20"/>
              </w:rPr>
            </w:pPr>
            <w:r w:rsidRPr="00226CC6">
              <w:rPr>
                <w:sz w:val="20"/>
              </w:rPr>
              <w:t>Power flows validated on a single realistic distribution feeder in simulation. Phasor tracking shows agreement with expected power flows at every circuit node to better than 5%</w:t>
            </w:r>
          </w:p>
        </w:tc>
        <w:tc>
          <w:tcPr>
            <w:tcW w:w="2610" w:type="dxa"/>
          </w:tcPr>
          <w:p w14:paraId="5D009A03" w14:textId="77777777" w:rsidR="00B77C40" w:rsidRPr="00226CC6" w:rsidRDefault="00B77C40" w:rsidP="00B77C40">
            <w:pPr>
              <w:rPr>
                <w:sz w:val="20"/>
              </w:rPr>
            </w:pPr>
            <w:r w:rsidRPr="00226CC6">
              <w:rPr>
                <w:snapToGrid w:val="0"/>
                <w:sz w:val="20"/>
              </w:rPr>
              <w:t>Quantitative simulation results from basic tools sent to DOE</w:t>
            </w:r>
          </w:p>
        </w:tc>
        <w:tc>
          <w:tcPr>
            <w:tcW w:w="2695" w:type="dxa"/>
          </w:tcPr>
          <w:p w14:paraId="7B21496A" w14:textId="77777777" w:rsidR="00B77C40" w:rsidRPr="00226CC6" w:rsidRDefault="00B77C40" w:rsidP="00B77C40">
            <w:pPr>
              <w:rPr>
                <w:sz w:val="20"/>
              </w:rPr>
            </w:pPr>
            <w:r w:rsidRPr="00226CC6">
              <w:rPr>
                <w:sz w:val="20"/>
              </w:rPr>
              <w:t>5% agreement is required to assess the quality of the simulation tools.</w:t>
            </w:r>
          </w:p>
        </w:tc>
      </w:tr>
      <w:tr w:rsidR="00B77C40" w:rsidRPr="00226CC6" w14:paraId="3291112E" w14:textId="77777777" w:rsidTr="005D67CB">
        <w:tc>
          <w:tcPr>
            <w:tcW w:w="805" w:type="dxa"/>
          </w:tcPr>
          <w:p w14:paraId="76789495" w14:textId="77777777" w:rsidR="00B77C40" w:rsidRPr="00226CC6" w:rsidRDefault="00B77C40" w:rsidP="00B77C40">
            <w:pPr>
              <w:jc w:val="center"/>
              <w:rPr>
                <w:sz w:val="20"/>
              </w:rPr>
            </w:pPr>
            <w:r w:rsidRPr="00226CC6">
              <w:rPr>
                <w:sz w:val="20"/>
              </w:rPr>
              <w:t>2.2.1</w:t>
            </w:r>
          </w:p>
        </w:tc>
        <w:tc>
          <w:tcPr>
            <w:tcW w:w="1260" w:type="dxa"/>
          </w:tcPr>
          <w:p w14:paraId="0AE90261" w14:textId="77777777" w:rsidR="00B77C40" w:rsidRPr="00226CC6" w:rsidRDefault="00B77C40" w:rsidP="00B77C40">
            <w:pPr>
              <w:jc w:val="center"/>
              <w:rPr>
                <w:sz w:val="20"/>
              </w:rPr>
            </w:pPr>
            <w:r w:rsidRPr="00226CC6">
              <w:rPr>
                <w:sz w:val="20"/>
              </w:rPr>
              <w:t>19</w:t>
            </w:r>
          </w:p>
        </w:tc>
        <w:tc>
          <w:tcPr>
            <w:tcW w:w="1350" w:type="dxa"/>
          </w:tcPr>
          <w:p w14:paraId="280D0C98" w14:textId="77777777" w:rsidR="00B77C40" w:rsidRPr="00226CC6" w:rsidRDefault="00B77C40" w:rsidP="00B77C40">
            <w:pPr>
              <w:rPr>
                <w:sz w:val="20"/>
              </w:rPr>
            </w:pPr>
            <w:r w:rsidRPr="00226CC6">
              <w:rPr>
                <w:sz w:val="20"/>
              </w:rPr>
              <w:t>Figure of merit</w:t>
            </w:r>
          </w:p>
        </w:tc>
        <w:tc>
          <w:tcPr>
            <w:tcW w:w="1440" w:type="dxa"/>
          </w:tcPr>
          <w:p w14:paraId="17A8F664" w14:textId="77777777" w:rsidR="00B77C40" w:rsidRPr="00226CC6" w:rsidRDefault="00B77C40" w:rsidP="00B77C40">
            <w:pPr>
              <w:rPr>
                <w:sz w:val="20"/>
              </w:rPr>
            </w:pPr>
            <w:r w:rsidRPr="00226CC6">
              <w:rPr>
                <w:sz w:val="20"/>
              </w:rPr>
              <w:t>&gt; 0.92</w:t>
            </w:r>
          </w:p>
        </w:tc>
        <w:tc>
          <w:tcPr>
            <w:tcW w:w="2790" w:type="dxa"/>
          </w:tcPr>
          <w:p w14:paraId="480125A2" w14:textId="77777777" w:rsidR="00B77C40" w:rsidRPr="00226CC6" w:rsidRDefault="00B77C40" w:rsidP="00B77C40">
            <w:pPr>
              <w:rPr>
                <w:sz w:val="20"/>
              </w:rPr>
            </w:pPr>
            <w:r w:rsidRPr="00226CC6">
              <w:rPr>
                <w:sz w:val="20"/>
              </w:rPr>
              <w:t xml:space="preserve">Figure of merit for t = 100h and T = 750 C calculated. </w:t>
            </w:r>
            <w:r w:rsidRPr="00226CC6">
              <w:rPr>
                <w:rFonts w:cstheme="minorHAnsi"/>
                <w:sz w:val="20"/>
              </w:rPr>
              <w:t>Student’s t-test; 95% C. I.</w:t>
            </w:r>
          </w:p>
        </w:tc>
        <w:tc>
          <w:tcPr>
            <w:tcW w:w="2610" w:type="dxa"/>
          </w:tcPr>
          <w:p w14:paraId="6F0D8061" w14:textId="77777777" w:rsidR="00B77C40" w:rsidRPr="00226CC6" w:rsidRDefault="00B77C40" w:rsidP="00B77C40">
            <w:pPr>
              <w:rPr>
                <w:snapToGrid w:val="0"/>
                <w:sz w:val="20"/>
              </w:rPr>
            </w:pPr>
            <w:r w:rsidRPr="00226CC6">
              <w:rPr>
                <w:snapToGrid w:val="0"/>
                <w:sz w:val="20"/>
              </w:rPr>
              <w:t>Data and report sent to DOE</w:t>
            </w:r>
          </w:p>
        </w:tc>
        <w:tc>
          <w:tcPr>
            <w:tcW w:w="2695" w:type="dxa"/>
          </w:tcPr>
          <w:p w14:paraId="740302D8" w14:textId="77777777" w:rsidR="00B77C40" w:rsidRPr="00226CC6" w:rsidRDefault="00B77C40" w:rsidP="00B77C40">
            <w:pPr>
              <w:rPr>
                <w:sz w:val="20"/>
              </w:rPr>
            </w:pPr>
            <w:r w:rsidRPr="00226CC6">
              <w:rPr>
                <w:sz w:val="20"/>
              </w:rPr>
              <w:t>The temperature is appropriate for the FOA goals; 100h is still fairly short but much better than 1h or 10h; the FOM respects the competing interplay of absorptivity and emissivity, it also reflects the importance of concentration factor.</w:t>
            </w:r>
          </w:p>
        </w:tc>
      </w:tr>
      <w:tr w:rsidR="00B77C40" w:rsidRPr="00226CC6" w14:paraId="499377E3" w14:textId="77777777" w:rsidTr="005D67CB">
        <w:tc>
          <w:tcPr>
            <w:tcW w:w="805" w:type="dxa"/>
          </w:tcPr>
          <w:p w14:paraId="024CDD2B" w14:textId="77777777" w:rsidR="00B77C40" w:rsidRPr="00226CC6" w:rsidRDefault="00B77C40" w:rsidP="00B77C40">
            <w:pPr>
              <w:jc w:val="center"/>
              <w:rPr>
                <w:sz w:val="20"/>
              </w:rPr>
            </w:pPr>
            <w:r w:rsidRPr="00226CC6">
              <w:rPr>
                <w:sz w:val="20"/>
              </w:rPr>
              <w:t>2.4.2</w:t>
            </w:r>
          </w:p>
        </w:tc>
        <w:tc>
          <w:tcPr>
            <w:tcW w:w="1260" w:type="dxa"/>
          </w:tcPr>
          <w:p w14:paraId="59CD6AB9" w14:textId="77777777" w:rsidR="00B77C40" w:rsidRPr="00226CC6" w:rsidRDefault="00B77C40" w:rsidP="00B77C40">
            <w:pPr>
              <w:jc w:val="center"/>
              <w:rPr>
                <w:sz w:val="20"/>
              </w:rPr>
            </w:pPr>
            <w:r w:rsidRPr="00226CC6">
              <w:rPr>
                <w:sz w:val="20"/>
              </w:rPr>
              <w:t>21</w:t>
            </w:r>
          </w:p>
        </w:tc>
        <w:tc>
          <w:tcPr>
            <w:tcW w:w="1350" w:type="dxa"/>
          </w:tcPr>
          <w:p w14:paraId="38842C94" w14:textId="77777777" w:rsidR="00B77C40" w:rsidRPr="00226CC6" w:rsidRDefault="00B77C40" w:rsidP="00B77C40">
            <w:pPr>
              <w:rPr>
                <w:sz w:val="20"/>
              </w:rPr>
            </w:pPr>
            <w:r w:rsidRPr="00226CC6">
              <w:rPr>
                <w:sz w:val="20"/>
              </w:rPr>
              <w:t>Independent expert review of security architecture</w:t>
            </w:r>
          </w:p>
        </w:tc>
        <w:tc>
          <w:tcPr>
            <w:tcW w:w="1440" w:type="dxa"/>
          </w:tcPr>
          <w:p w14:paraId="41AEED6D" w14:textId="77777777" w:rsidR="00B77C40" w:rsidRPr="00226CC6" w:rsidRDefault="00B77C40" w:rsidP="00B77C40">
            <w:pPr>
              <w:rPr>
                <w:sz w:val="20"/>
              </w:rPr>
            </w:pPr>
            <w:r w:rsidRPr="00226CC6">
              <w:rPr>
                <w:sz w:val="20"/>
              </w:rPr>
              <w:t>Third party review</w:t>
            </w:r>
          </w:p>
        </w:tc>
        <w:tc>
          <w:tcPr>
            <w:tcW w:w="2790" w:type="dxa"/>
          </w:tcPr>
          <w:p w14:paraId="6ED74942" w14:textId="77777777" w:rsidR="00B77C40" w:rsidRPr="00226CC6" w:rsidRDefault="00B77C40" w:rsidP="00B77C40">
            <w:pPr>
              <w:rPr>
                <w:sz w:val="20"/>
              </w:rPr>
            </w:pPr>
            <w:r w:rsidRPr="00226CC6">
              <w:rPr>
                <w:sz w:val="20"/>
              </w:rPr>
              <w:t>Report by independent third-party cybersecurity expert reviewing the architecture and providing feedback on potential weaknesses.</w:t>
            </w:r>
          </w:p>
        </w:tc>
        <w:tc>
          <w:tcPr>
            <w:tcW w:w="2610" w:type="dxa"/>
          </w:tcPr>
          <w:p w14:paraId="542260F0" w14:textId="77777777" w:rsidR="00B77C40" w:rsidRPr="00226CC6" w:rsidRDefault="00B77C40" w:rsidP="00B77C40">
            <w:pPr>
              <w:rPr>
                <w:snapToGrid w:val="0"/>
                <w:sz w:val="20"/>
              </w:rPr>
            </w:pPr>
            <w:r w:rsidRPr="00226CC6">
              <w:rPr>
                <w:snapToGrid w:val="0"/>
                <w:sz w:val="20"/>
              </w:rPr>
              <w:t>Security review report sent to DOE</w:t>
            </w:r>
          </w:p>
        </w:tc>
        <w:tc>
          <w:tcPr>
            <w:tcW w:w="2695" w:type="dxa"/>
          </w:tcPr>
          <w:p w14:paraId="45EDA9AF" w14:textId="77777777" w:rsidR="00B77C40" w:rsidRPr="00226CC6" w:rsidRDefault="00B77C40" w:rsidP="00B77C40">
            <w:pPr>
              <w:rPr>
                <w:sz w:val="20"/>
              </w:rPr>
            </w:pPr>
            <w:r w:rsidRPr="00226CC6">
              <w:rPr>
                <w:sz w:val="20"/>
              </w:rPr>
              <w:t>Implications of new platform architecture in the context of new concerns around cybersecurity must be investigated and mitigated if necessary.</w:t>
            </w:r>
          </w:p>
        </w:tc>
      </w:tr>
      <w:tr w:rsidR="00B77C40" w:rsidRPr="00226CC6" w14:paraId="29B2A681" w14:textId="77777777" w:rsidTr="005D67CB">
        <w:tc>
          <w:tcPr>
            <w:tcW w:w="805" w:type="dxa"/>
            <w:shd w:val="clear" w:color="auto" w:fill="FABF8F" w:themeFill="accent6" w:themeFillTint="99"/>
          </w:tcPr>
          <w:p w14:paraId="396B2D16" w14:textId="77777777" w:rsidR="00B77C40" w:rsidRPr="00226CC6" w:rsidRDefault="00B77C40" w:rsidP="00B77C40">
            <w:pPr>
              <w:jc w:val="center"/>
              <w:rPr>
                <w:sz w:val="20"/>
              </w:rPr>
            </w:pPr>
            <w:r w:rsidRPr="00226CC6">
              <w:rPr>
                <w:sz w:val="20"/>
              </w:rPr>
              <w:t>EOP-A</w:t>
            </w:r>
          </w:p>
        </w:tc>
        <w:tc>
          <w:tcPr>
            <w:tcW w:w="1260" w:type="dxa"/>
            <w:shd w:val="clear" w:color="auto" w:fill="FABF8F" w:themeFill="accent6" w:themeFillTint="99"/>
          </w:tcPr>
          <w:p w14:paraId="5FAD74DD" w14:textId="77777777" w:rsidR="00B77C40" w:rsidRPr="00226CC6" w:rsidRDefault="00B77C40" w:rsidP="00B77C40">
            <w:pPr>
              <w:jc w:val="center"/>
              <w:rPr>
                <w:sz w:val="20"/>
              </w:rPr>
            </w:pPr>
            <w:r w:rsidRPr="00226CC6">
              <w:rPr>
                <w:sz w:val="20"/>
              </w:rPr>
              <w:t>24</w:t>
            </w:r>
          </w:p>
        </w:tc>
        <w:tc>
          <w:tcPr>
            <w:tcW w:w="1350" w:type="dxa"/>
            <w:shd w:val="clear" w:color="auto" w:fill="FABF8F" w:themeFill="accent6" w:themeFillTint="99"/>
          </w:tcPr>
          <w:p w14:paraId="1C693441" w14:textId="77777777" w:rsidR="00B77C40" w:rsidRPr="00226CC6" w:rsidRDefault="00B77C40" w:rsidP="00B77C40">
            <w:pPr>
              <w:rPr>
                <w:sz w:val="20"/>
              </w:rPr>
            </w:pPr>
            <w:r w:rsidRPr="00226CC6">
              <w:rPr>
                <w:sz w:val="20"/>
              </w:rPr>
              <w:t>Module efficiency</w:t>
            </w:r>
          </w:p>
        </w:tc>
        <w:tc>
          <w:tcPr>
            <w:tcW w:w="1440" w:type="dxa"/>
            <w:shd w:val="clear" w:color="auto" w:fill="FABF8F" w:themeFill="accent6" w:themeFillTint="99"/>
          </w:tcPr>
          <w:p w14:paraId="0B065FA8" w14:textId="77777777" w:rsidR="00B77C40" w:rsidRPr="00226CC6" w:rsidRDefault="00B77C40" w:rsidP="00B77C40">
            <w:pPr>
              <w:rPr>
                <w:sz w:val="20"/>
              </w:rPr>
            </w:pPr>
            <w:r w:rsidRPr="00226CC6">
              <w:rPr>
                <w:sz w:val="20"/>
              </w:rPr>
              <w:t>&gt; 25% efficiency</w:t>
            </w:r>
          </w:p>
        </w:tc>
        <w:tc>
          <w:tcPr>
            <w:tcW w:w="2790" w:type="dxa"/>
            <w:shd w:val="clear" w:color="auto" w:fill="FABF8F" w:themeFill="accent6" w:themeFillTint="99"/>
          </w:tcPr>
          <w:p w14:paraId="0E9072CC" w14:textId="77777777" w:rsidR="00B77C40" w:rsidRPr="00226CC6" w:rsidRDefault="00B77C40" w:rsidP="00B77C40">
            <w:pPr>
              <w:rPr>
                <w:sz w:val="20"/>
              </w:rPr>
            </w:pPr>
            <w:r w:rsidRPr="00226CC6">
              <w:rPr>
                <w:sz w:val="20"/>
              </w:rPr>
              <w:t>Average, standard deviation. At least 10 modules measured under standard conditions. Standard deviation &lt; 1% (absolute efficiency)</w:t>
            </w:r>
          </w:p>
        </w:tc>
        <w:tc>
          <w:tcPr>
            <w:tcW w:w="2610" w:type="dxa"/>
            <w:shd w:val="clear" w:color="auto" w:fill="FABF8F" w:themeFill="accent6" w:themeFillTint="99"/>
          </w:tcPr>
          <w:p w14:paraId="5690A984" w14:textId="77777777" w:rsidR="00B77C40" w:rsidRPr="00226CC6" w:rsidRDefault="00B77C40" w:rsidP="00B77C40">
            <w:pPr>
              <w:rPr>
                <w:snapToGrid w:val="0"/>
                <w:sz w:val="20"/>
              </w:rPr>
            </w:pPr>
            <w:r w:rsidRPr="00226CC6">
              <w:rPr>
                <w:sz w:val="20"/>
              </w:rPr>
              <w:t>Measured at testing facility approved by DOE. Data and report sent to DOE for verification</w:t>
            </w:r>
          </w:p>
        </w:tc>
        <w:tc>
          <w:tcPr>
            <w:tcW w:w="2695" w:type="dxa"/>
            <w:shd w:val="clear" w:color="auto" w:fill="FABF8F" w:themeFill="accent6" w:themeFillTint="99"/>
          </w:tcPr>
          <w:p w14:paraId="06C409A5" w14:textId="77777777" w:rsidR="00B77C40" w:rsidRPr="00226CC6" w:rsidRDefault="00B77C40" w:rsidP="00B77C40">
            <w:pPr>
              <w:rPr>
                <w:sz w:val="20"/>
              </w:rPr>
            </w:pPr>
            <w:r w:rsidRPr="00226CC6">
              <w:rPr>
                <w:sz w:val="20"/>
              </w:rPr>
              <w:t>The success value was chosen based on initial cost modeling: efficiency lower than 25% makes this technology not competitive with current state of the art</w:t>
            </w:r>
          </w:p>
        </w:tc>
      </w:tr>
      <w:tr w:rsidR="00B77C40" w:rsidRPr="00226CC6" w14:paraId="36BDF1E7" w14:textId="77777777" w:rsidTr="005D67CB">
        <w:tc>
          <w:tcPr>
            <w:tcW w:w="805" w:type="dxa"/>
            <w:shd w:val="clear" w:color="auto" w:fill="FABF8F" w:themeFill="accent6" w:themeFillTint="99"/>
          </w:tcPr>
          <w:p w14:paraId="45AA791B" w14:textId="77777777" w:rsidR="00B77C40" w:rsidRPr="00226CC6" w:rsidRDefault="00B77C40" w:rsidP="00B77C40">
            <w:pPr>
              <w:jc w:val="center"/>
              <w:rPr>
                <w:sz w:val="20"/>
              </w:rPr>
            </w:pPr>
            <w:r w:rsidRPr="00226CC6">
              <w:rPr>
                <w:sz w:val="20"/>
              </w:rPr>
              <w:lastRenderedPageBreak/>
              <w:t>EOP-B</w:t>
            </w:r>
          </w:p>
        </w:tc>
        <w:tc>
          <w:tcPr>
            <w:tcW w:w="1260" w:type="dxa"/>
            <w:shd w:val="clear" w:color="auto" w:fill="FABF8F" w:themeFill="accent6" w:themeFillTint="99"/>
          </w:tcPr>
          <w:p w14:paraId="37F4DD45" w14:textId="77777777" w:rsidR="00B77C40" w:rsidRPr="00226CC6" w:rsidRDefault="00B77C40" w:rsidP="00B77C40">
            <w:pPr>
              <w:jc w:val="center"/>
              <w:rPr>
                <w:sz w:val="20"/>
              </w:rPr>
            </w:pPr>
            <w:r w:rsidRPr="00226CC6">
              <w:rPr>
                <w:sz w:val="20"/>
              </w:rPr>
              <w:t>24</w:t>
            </w:r>
          </w:p>
        </w:tc>
        <w:tc>
          <w:tcPr>
            <w:tcW w:w="1350" w:type="dxa"/>
            <w:shd w:val="clear" w:color="auto" w:fill="FABF8F" w:themeFill="accent6" w:themeFillTint="99"/>
          </w:tcPr>
          <w:p w14:paraId="47D97F73" w14:textId="77777777" w:rsidR="00B77C40" w:rsidRPr="00226CC6" w:rsidRDefault="00B77C40" w:rsidP="00B77C40">
            <w:pPr>
              <w:rPr>
                <w:sz w:val="20"/>
              </w:rPr>
            </w:pPr>
            <w:r w:rsidRPr="00226CC6">
              <w:rPr>
                <w:sz w:val="20"/>
              </w:rPr>
              <w:t xml:space="preserve">Binding letters of intent  </w:t>
            </w:r>
          </w:p>
        </w:tc>
        <w:tc>
          <w:tcPr>
            <w:tcW w:w="1440" w:type="dxa"/>
            <w:shd w:val="clear" w:color="auto" w:fill="FABF8F" w:themeFill="accent6" w:themeFillTint="99"/>
          </w:tcPr>
          <w:p w14:paraId="7DFB4161" w14:textId="77777777" w:rsidR="00B77C40" w:rsidRPr="00226CC6" w:rsidRDefault="00B77C40" w:rsidP="00B77C40">
            <w:pPr>
              <w:rPr>
                <w:sz w:val="20"/>
              </w:rPr>
            </w:pPr>
            <w:r w:rsidRPr="00226CC6">
              <w:rPr>
                <w:sz w:val="20"/>
              </w:rPr>
              <w:t>2 letters</w:t>
            </w:r>
          </w:p>
        </w:tc>
        <w:tc>
          <w:tcPr>
            <w:tcW w:w="2790" w:type="dxa"/>
            <w:shd w:val="clear" w:color="auto" w:fill="FABF8F" w:themeFill="accent6" w:themeFillTint="99"/>
          </w:tcPr>
          <w:p w14:paraId="2B0827F1" w14:textId="77777777" w:rsidR="00B77C40" w:rsidRPr="00226CC6" w:rsidRDefault="00B77C40" w:rsidP="00B77C40">
            <w:pPr>
              <w:rPr>
                <w:sz w:val="20"/>
              </w:rPr>
            </w:pPr>
            <w:r w:rsidRPr="00226CC6">
              <w:rPr>
                <w:sz w:val="20"/>
              </w:rPr>
              <w:t>Count. A minimum of 2 letters of intent from relevant stakeholders committing to fabricate and test a large scale prototype of this technology</w:t>
            </w:r>
          </w:p>
        </w:tc>
        <w:tc>
          <w:tcPr>
            <w:tcW w:w="2610" w:type="dxa"/>
            <w:shd w:val="clear" w:color="auto" w:fill="FABF8F" w:themeFill="accent6" w:themeFillTint="99"/>
          </w:tcPr>
          <w:p w14:paraId="72F10C35" w14:textId="77777777" w:rsidR="00B77C40" w:rsidRPr="00226CC6" w:rsidRDefault="00B77C40" w:rsidP="00B77C40">
            <w:pPr>
              <w:rPr>
                <w:snapToGrid w:val="0"/>
                <w:sz w:val="20"/>
              </w:rPr>
            </w:pPr>
            <w:r w:rsidRPr="00226CC6">
              <w:rPr>
                <w:sz w:val="20"/>
              </w:rPr>
              <w:t>Letters delivered to DOE</w:t>
            </w:r>
          </w:p>
        </w:tc>
        <w:tc>
          <w:tcPr>
            <w:tcW w:w="2695" w:type="dxa"/>
            <w:shd w:val="clear" w:color="auto" w:fill="FABF8F" w:themeFill="accent6" w:themeFillTint="99"/>
          </w:tcPr>
          <w:p w14:paraId="246E4E48" w14:textId="77777777" w:rsidR="00B77C40" w:rsidRPr="00226CC6" w:rsidRDefault="00B77C40" w:rsidP="00B77C40">
            <w:pPr>
              <w:rPr>
                <w:sz w:val="20"/>
              </w:rPr>
            </w:pPr>
            <w:r w:rsidRPr="00226CC6">
              <w:rPr>
                <w:sz w:val="20"/>
              </w:rPr>
              <w:t>Success of the award will be measured by successful technology transfer to private entities.</w:t>
            </w:r>
          </w:p>
        </w:tc>
      </w:tr>
      <w:tr w:rsidR="00B77C40" w:rsidRPr="00226CC6" w14:paraId="2D3683D6" w14:textId="77777777" w:rsidTr="005D67CB">
        <w:tc>
          <w:tcPr>
            <w:tcW w:w="805" w:type="dxa"/>
            <w:shd w:val="clear" w:color="auto" w:fill="FABF8F" w:themeFill="accent6" w:themeFillTint="99"/>
          </w:tcPr>
          <w:p w14:paraId="2FF60B47" w14:textId="77777777" w:rsidR="00B77C40" w:rsidRPr="00226CC6" w:rsidRDefault="00B77C40" w:rsidP="00B77C40">
            <w:pPr>
              <w:jc w:val="center"/>
              <w:rPr>
                <w:sz w:val="20"/>
              </w:rPr>
            </w:pPr>
            <w:r w:rsidRPr="00226CC6">
              <w:rPr>
                <w:sz w:val="20"/>
              </w:rPr>
              <w:t>EOP-C</w:t>
            </w:r>
          </w:p>
        </w:tc>
        <w:tc>
          <w:tcPr>
            <w:tcW w:w="1260" w:type="dxa"/>
            <w:shd w:val="clear" w:color="auto" w:fill="FABF8F" w:themeFill="accent6" w:themeFillTint="99"/>
          </w:tcPr>
          <w:p w14:paraId="0D1B6CE7" w14:textId="77777777" w:rsidR="00B77C40" w:rsidRPr="00226CC6" w:rsidRDefault="00B77C40" w:rsidP="00B77C40">
            <w:pPr>
              <w:jc w:val="center"/>
              <w:rPr>
                <w:sz w:val="20"/>
              </w:rPr>
            </w:pPr>
            <w:r w:rsidRPr="00226CC6">
              <w:rPr>
                <w:sz w:val="20"/>
              </w:rPr>
              <w:t>24</w:t>
            </w:r>
          </w:p>
        </w:tc>
        <w:tc>
          <w:tcPr>
            <w:tcW w:w="1350" w:type="dxa"/>
            <w:shd w:val="clear" w:color="auto" w:fill="FABF8F" w:themeFill="accent6" w:themeFillTint="99"/>
          </w:tcPr>
          <w:p w14:paraId="702D7FAE" w14:textId="77777777" w:rsidR="00B77C40" w:rsidRPr="00226CC6" w:rsidRDefault="00B77C40" w:rsidP="00B77C40">
            <w:pPr>
              <w:rPr>
                <w:sz w:val="20"/>
              </w:rPr>
            </w:pPr>
            <w:r w:rsidRPr="00226CC6">
              <w:rPr>
                <w:sz w:val="20"/>
              </w:rPr>
              <w:t>Contract</w:t>
            </w:r>
          </w:p>
        </w:tc>
        <w:tc>
          <w:tcPr>
            <w:tcW w:w="1440" w:type="dxa"/>
            <w:shd w:val="clear" w:color="auto" w:fill="FABF8F" w:themeFill="accent6" w:themeFillTint="99"/>
          </w:tcPr>
          <w:p w14:paraId="1C882508" w14:textId="77777777" w:rsidR="00B77C40" w:rsidRPr="00226CC6" w:rsidRDefault="00B77C40" w:rsidP="00B77C40">
            <w:pPr>
              <w:rPr>
                <w:sz w:val="20"/>
              </w:rPr>
            </w:pPr>
            <w:r w:rsidRPr="00226CC6">
              <w:rPr>
                <w:sz w:val="20"/>
              </w:rPr>
              <w:t>&gt; 1</w:t>
            </w:r>
          </w:p>
        </w:tc>
        <w:tc>
          <w:tcPr>
            <w:tcW w:w="2790" w:type="dxa"/>
            <w:shd w:val="clear" w:color="auto" w:fill="FABF8F" w:themeFill="accent6" w:themeFillTint="99"/>
          </w:tcPr>
          <w:p w14:paraId="2E017042" w14:textId="77777777" w:rsidR="00B77C40" w:rsidRPr="00226CC6" w:rsidRDefault="00B77C40" w:rsidP="00B77C40">
            <w:pPr>
              <w:rPr>
                <w:sz w:val="20"/>
              </w:rPr>
            </w:pPr>
            <w:r w:rsidRPr="00226CC6">
              <w:rPr>
                <w:sz w:val="20"/>
              </w:rPr>
              <w:t>Count. At least one agreement with a non-team-member to share data and beta test the solution.</w:t>
            </w:r>
          </w:p>
        </w:tc>
        <w:tc>
          <w:tcPr>
            <w:tcW w:w="2610" w:type="dxa"/>
            <w:shd w:val="clear" w:color="auto" w:fill="FABF8F" w:themeFill="accent6" w:themeFillTint="99"/>
          </w:tcPr>
          <w:p w14:paraId="083C7157" w14:textId="77777777" w:rsidR="00B77C40" w:rsidRPr="00226CC6" w:rsidRDefault="00B77C40" w:rsidP="00B77C40">
            <w:pPr>
              <w:rPr>
                <w:sz w:val="20"/>
              </w:rPr>
            </w:pPr>
            <w:r w:rsidRPr="00226CC6">
              <w:rPr>
                <w:sz w:val="20"/>
              </w:rPr>
              <w:t>Agreement delivered to DOE</w:t>
            </w:r>
          </w:p>
        </w:tc>
        <w:tc>
          <w:tcPr>
            <w:tcW w:w="2695" w:type="dxa"/>
            <w:shd w:val="clear" w:color="auto" w:fill="FABF8F" w:themeFill="accent6" w:themeFillTint="99"/>
          </w:tcPr>
          <w:p w14:paraId="11D4D686" w14:textId="77777777" w:rsidR="00B77C40" w:rsidRPr="00226CC6" w:rsidRDefault="00B77C40" w:rsidP="00B77C40">
            <w:pPr>
              <w:rPr>
                <w:sz w:val="20"/>
              </w:rPr>
            </w:pPr>
            <w:r w:rsidRPr="00226CC6">
              <w:rPr>
                <w:sz w:val="20"/>
              </w:rPr>
              <w:t>Success of the award will be measured by successful technology transfer to private entities.</w:t>
            </w:r>
          </w:p>
        </w:tc>
      </w:tr>
    </w:tbl>
    <w:p w14:paraId="1F6C6237" w14:textId="77777777" w:rsidR="00CA13E2" w:rsidRPr="00226CC6" w:rsidRDefault="00CA13E2" w:rsidP="002060FC">
      <w:pPr>
        <w:jc w:val="both"/>
      </w:pPr>
    </w:p>
    <w:sectPr w:rsidR="00CA13E2" w:rsidRPr="00226CC6" w:rsidSect="00E547AD">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CB12" w14:textId="77777777" w:rsidR="00EF5658" w:rsidRDefault="00EF5658">
      <w:r>
        <w:separator/>
      </w:r>
    </w:p>
  </w:endnote>
  <w:endnote w:type="continuationSeparator" w:id="0">
    <w:p w14:paraId="5769B2DA" w14:textId="77777777" w:rsidR="00EF5658" w:rsidRDefault="00EF5658">
      <w:r>
        <w:continuationSeparator/>
      </w:r>
    </w:p>
  </w:endnote>
  <w:endnote w:type="continuationNotice" w:id="1">
    <w:p w14:paraId="37E119BB" w14:textId="77777777" w:rsidR="00EF5658" w:rsidRDefault="00EF5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9C37" w14:textId="77777777" w:rsidR="00A059B2" w:rsidRDefault="00A05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067993"/>
      <w:docPartObj>
        <w:docPartGallery w:val="Page Numbers (Bottom of Page)"/>
        <w:docPartUnique/>
      </w:docPartObj>
    </w:sdtPr>
    <w:sdtEndPr>
      <w:rPr>
        <w:noProof/>
      </w:rPr>
    </w:sdtEndPr>
    <w:sdtContent>
      <w:p w14:paraId="5BF734CA" w14:textId="77777777" w:rsidR="00AC74A8" w:rsidRDefault="00AC74A8">
        <w:pPr>
          <w:pStyle w:val="Footer"/>
          <w:jc w:val="center"/>
        </w:pPr>
        <w:r>
          <w:fldChar w:fldCharType="begin"/>
        </w:r>
        <w:r>
          <w:instrText xml:space="preserve"> PAGE   \* MERGEFORMAT </w:instrText>
        </w:r>
        <w:r>
          <w:fldChar w:fldCharType="separate"/>
        </w:r>
        <w:r w:rsidR="006C3FFD">
          <w:rPr>
            <w:noProof/>
          </w:rPr>
          <w:t>1</w:t>
        </w:r>
        <w:r>
          <w:rPr>
            <w:noProof/>
          </w:rPr>
          <w:fldChar w:fldCharType="end"/>
        </w:r>
      </w:p>
    </w:sdtContent>
  </w:sdt>
  <w:p w14:paraId="35B0FE94" w14:textId="77777777" w:rsidR="00AC74A8" w:rsidRDefault="00AC7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452C" w14:textId="77777777" w:rsidR="00A059B2" w:rsidRDefault="00A05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857E7" w14:textId="77777777" w:rsidR="00EF5658" w:rsidRDefault="00EF5658">
      <w:r>
        <w:separator/>
      </w:r>
    </w:p>
  </w:footnote>
  <w:footnote w:type="continuationSeparator" w:id="0">
    <w:p w14:paraId="219F84E9" w14:textId="77777777" w:rsidR="00EF5658" w:rsidRDefault="00EF5658">
      <w:r>
        <w:continuationSeparator/>
      </w:r>
    </w:p>
  </w:footnote>
  <w:footnote w:type="continuationNotice" w:id="1">
    <w:p w14:paraId="38A905B4" w14:textId="77777777" w:rsidR="00EF5658" w:rsidRDefault="00EF5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D3EC" w14:textId="77777777" w:rsidR="00A059B2" w:rsidRDefault="00A05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2887" w14:textId="7FF63A3E" w:rsidR="003B0887" w:rsidRPr="00F85BF9" w:rsidRDefault="00F85BF9" w:rsidP="008A2000">
    <w:pPr>
      <w:pStyle w:val="Header"/>
      <w:ind w:left="2880" w:firstLine="4320"/>
      <w:jc w:val="right"/>
      <w:rPr>
        <w:szCs w:val="24"/>
      </w:rPr>
    </w:pPr>
    <w:r w:rsidRPr="00CC1EE7">
      <w:rPr>
        <w:color w:val="FFFFFF" w:themeColor="background1"/>
        <w:sz w:val="20"/>
      </w:rPr>
      <w:t>V</w:t>
    </w:r>
    <w:r w:rsidR="00A059B2">
      <w:rPr>
        <w:color w:val="FFFFFF" w:themeColor="background1"/>
        <w:sz w:val="20"/>
      </w:rPr>
      <w:t>ersion 2.1 (4/7/20</w:t>
    </w:r>
    <w:r w:rsidRPr="00F85BF9">
      <w:rPr>
        <w:color w:val="FFFFFF" w:themeColor="background1"/>
        <w:szCs w:val="24"/>
      </w:rPr>
      <w:t>)</w:t>
    </w:r>
    <w:r w:rsidR="00696EB2" w:rsidRPr="00F85BF9">
      <w:rPr>
        <w:noProof/>
        <w:szCs w:val="24"/>
      </w:rPr>
      <w:drawing>
        <wp:anchor distT="0" distB="0" distL="114300" distR="114300" simplePos="0" relativeHeight="251659776" behindDoc="1" locked="0" layoutInCell="1" allowOverlap="1" wp14:anchorId="542287C3" wp14:editId="4BBF3581">
          <wp:simplePos x="0" y="0"/>
          <wp:positionH relativeFrom="column">
            <wp:posOffset>0</wp:posOffset>
          </wp:positionH>
          <wp:positionV relativeFrom="paragraph">
            <wp:posOffset>0</wp:posOffset>
          </wp:positionV>
          <wp:extent cx="5944235"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52145"/>
                  </a:xfrm>
                  <a:prstGeom prst="rect">
                    <a:avLst/>
                  </a:prstGeom>
                  <a:noFill/>
                </pic:spPr>
              </pic:pic>
            </a:graphicData>
          </a:graphic>
        </wp:anchor>
      </w:drawing>
    </w:r>
  </w:p>
  <w:p w14:paraId="5FFE9D68" w14:textId="77777777" w:rsidR="003B0887" w:rsidRPr="00917399" w:rsidRDefault="003B0887" w:rsidP="008A2000">
    <w:pPr>
      <w:pStyle w:val="Header"/>
      <w:ind w:left="2880" w:firstLine="4320"/>
      <w:jc w:val="right"/>
      <w:rPr>
        <w:color w:val="FFFFFF" w:themeColor="background1"/>
        <w:szCs w:val="24"/>
      </w:rPr>
    </w:pPr>
    <w:r w:rsidRPr="00917399">
      <w:rPr>
        <w:color w:val="FFFFFF" w:themeColor="background1"/>
        <w:szCs w:val="24"/>
      </w:rPr>
      <w:t>DE-EE000XXXX/0000</w:t>
    </w:r>
  </w:p>
  <w:p w14:paraId="45E97ADE" w14:textId="77777777" w:rsidR="003B0887" w:rsidRPr="00226CC6" w:rsidRDefault="00DF591E" w:rsidP="00226CC6">
    <w:pPr>
      <w:pStyle w:val="Header"/>
      <w:ind w:left="2880" w:firstLine="4320"/>
      <w:jc w:val="right"/>
      <w:rPr>
        <w:color w:val="FFFFFF" w:themeColor="background1"/>
        <w:szCs w:val="24"/>
      </w:rPr>
    </w:pPr>
    <w:r w:rsidRPr="00226CC6">
      <w:rPr>
        <w:color w:val="FFFFFF" w:themeColor="background1"/>
        <w:szCs w:val="24"/>
      </w:rPr>
      <w:t>Attachment 1</w:t>
    </w:r>
  </w:p>
  <w:p w14:paraId="291B798E" w14:textId="77777777" w:rsidR="007B7849" w:rsidRDefault="007B7849" w:rsidP="003B0887">
    <w:pPr>
      <w:pStyle w:val="Header"/>
      <w:rPr>
        <w:noProof/>
      </w:rPr>
    </w:pPr>
    <w:r w:rsidRPr="00CC3BC3">
      <w:t xml:space="preserve"> </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8467" w14:textId="77777777" w:rsidR="003B0887" w:rsidRDefault="003B0887">
    <w:pPr>
      <w:pStyle w:val="Header"/>
    </w:pPr>
  </w:p>
  <w:p w14:paraId="34A66725" w14:textId="77777777" w:rsidR="00430AD8" w:rsidRDefault="003B0887" w:rsidP="003B0887">
    <w:pPr>
      <w:pStyle w:val="Header"/>
      <w:jc w:val="right"/>
      <w:rPr>
        <w:color w:val="FFFFFF" w:themeColor="background1"/>
        <w:sz w:val="28"/>
        <w:szCs w:val="28"/>
      </w:rPr>
    </w:pPr>
    <w:r w:rsidRPr="003B0887">
      <w:rPr>
        <w:noProof/>
        <w:color w:val="FFFFFF" w:themeColor="background1"/>
        <w:sz w:val="28"/>
        <w:szCs w:val="28"/>
      </w:rPr>
      <w:drawing>
        <wp:anchor distT="0" distB="0" distL="114300" distR="114300" simplePos="0" relativeHeight="251657216" behindDoc="1" locked="0" layoutInCell="1" allowOverlap="1" wp14:anchorId="017484C3" wp14:editId="6E15D9B8">
          <wp:simplePos x="0" y="0"/>
          <wp:positionH relativeFrom="column">
            <wp:posOffset>0</wp:posOffset>
          </wp:positionH>
          <wp:positionV relativeFrom="page">
            <wp:posOffset>457200</wp:posOffset>
          </wp:positionV>
          <wp:extent cx="5944235"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52145"/>
                  </a:xfrm>
                  <a:prstGeom prst="rect">
                    <a:avLst/>
                  </a:prstGeom>
                  <a:noFill/>
                </pic:spPr>
              </pic:pic>
            </a:graphicData>
          </a:graphic>
          <wp14:sizeRelH relativeFrom="page">
            <wp14:pctWidth>0</wp14:pctWidth>
          </wp14:sizeRelH>
          <wp14:sizeRelV relativeFrom="page">
            <wp14:pctHeight>0</wp14:pctHeight>
          </wp14:sizeRelV>
        </wp:anchor>
      </w:drawing>
    </w:r>
    <w:r w:rsidRPr="003B0887">
      <w:rPr>
        <w:color w:val="FFFFFF" w:themeColor="background1"/>
        <w:sz w:val="28"/>
        <w:szCs w:val="28"/>
      </w:rPr>
      <w:t>DE-EE000XXXX/0000</w:t>
    </w:r>
  </w:p>
  <w:p w14:paraId="6ECFB681" w14:textId="77777777" w:rsidR="003B0887" w:rsidRPr="003B0887" w:rsidRDefault="003B0887" w:rsidP="003B0887">
    <w:pPr>
      <w:pStyle w:val="Header"/>
      <w:jc w:val="right"/>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F32A" w14:textId="77777777" w:rsidR="002060FC" w:rsidRDefault="00696EB2" w:rsidP="002060FC">
    <w:pPr>
      <w:pStyle w:val="Header"/>
    </w:pPr>
    <w:r>
      <w:rPr>
        <w:noProof/>
      </w:rPr>
      <w:drawing>
        <wp:anchor distT="0" distB="0" distL="114300" distR="114300" simplePos="0" relativeHeight="251664896" behindDoc="1" locked="0" layoutInCell="1" allowOverlap="1" wp14:anchorId="574E607A" wp14:editId="74D81EA1">
          <wp:simplePos x="0" y="0"/>
          <wp:positionH relativeFrom="margin">
            <wp:posOffset>5647055</wp:posOffset>
          </wp:positionH>
          <wp:positionV relativeFrom="paragraph">
            <wp:posOffset>-579</wp:posOffset>
          </wp:positionV>
          <wp:extent cx="2583061" cy="652145"/>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6545"/>
                  <a:stretch/>
                </pic:blipFill>
                <pic:spPr bwMode="auto">
                  <a:xfrm>
                    <a:off x="0" y="0"/>
                    <a:ext cx="2583061" cy="652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63872" behindDoc="1" locked="0" layoutInCell="1" allowOverlap="1" wp14:anchorId="221BFF6D" wp14:editId="2722B2AB">
          <wp:simplePos x="0" y="0"/>
          <wp:positionH relativeFrom="column">
            <wp:posOffset>0</wp:posOffset>
          </wp:positionH>
          <wp:positionV relativeFrom="paragraph">
            <wp:posOffset>0</wp:posOffset>
          </wp:positionV>
          <wp:extent cx="5944235" cy="6521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52145"/>
                  </a:xfrm>
                  <a:prstGeom prst="rect">
                    <a:avLst/>
                  </a:prstGeom>
                  <a:noFill/>
                </pic:spPr>
              </pic:pic>
            </a:graphicData>
          </a:graphic>
        </wp:anchor>
      </w:drawing>
    </w:r>
  </w:p>
  <w:p w14:paraId="77C686FE" w14:textId="77777777" w:rsidR="002060FC" w:rsidRPr="00917399" w:rsidRDefault="002060FC" w:rsidP="00917399">
    <w:pPr>
      <w:pStyle w:val="Header"/>
      <w:ind w:left="6480" w:firstLine="4320"/>
      <w:rPr>
        <w:color w:val="FFFFFF" w:themeColor="background1"/>
        <w:szCs w:val="24"/>
      </w:rPr>
    </w:pPr>
    <w:r w:rsidRPr="00917399">
      <w:rPr>
        <w:color w:val="FFFFFF" w:themeColor="background1"/>
        <w:szCs w:val="24"/>
      </w:rPr>
      <w:t>DE-EE000XXXX</w:t>
    </w:r>
    <w:r w:rsidR="00556E91" w:rsidRPr="00917399">
      <w:rPr>
        <w:color w:val="FFFFFF" w:themeColor="background1"/>
        <w:szCs w:val="24"/>
      </w:rPr>
      <w:t xml:space="preserve"> </w:t>
    </w:r>
    <w:r w:rsidRPr="00917399">
      <w:rPr>
        <w:color w:val="FFFFFF" w:themeColor="background1"/>
        <w:szCs w:val="24"/>
      </w:rPr>
      <w:t>/</w:t>
    </w:r>
    <w:r w:rsidR="00556E91" w:rsidRPr="00917399">
      <w:rPr>
        <w:color w:val="FFFFFF" w:themeColor="background1"/>
        <w:szCs w:val="24"/>
      </w:rPr>
      <w:t xml:space="preserve"> </w:t>
    </w:r>
    <w:r w:rsidRPr="00917399">
      <w:rPr>
        <w:color w:val="FFFFFF" w:themeColor="background1"/>
        <w:szCs w:val="24"/>
      </w:rPr>
      <w:t>0000</w:t>
    </w:r>
  </w:p>
  <w:p w14:paraId="1635BE54" w14:textId="77777777" w:rsidR="00430AD8" w:rsidRDefault="00597022" w:rsidP="002060FC">
    <w:pPr>
      <w:pStyle w:val="Header"/>
      <w:rPr>
        <w:noProof/>
      </w:rPr>
    </w:pPr>
    <w:r w:rsidRPr="00CC3BC3">
      <w:t xml:space="preserve"> </w:t>
    </w:r>
    <w:r>
      <w:rPr>
        <w:noProof/>
      </w:rPr>
      <w:t xml:space="preserve">                 </w:t>
    </w:r>
  </w:p>
  <w:p w14:paraId="26D36054" w14:textId="77777777" w:rsidR="002060FC" w:rsidRDefault="002060FC" w:rsidP="00206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43F"/>
    <w:multiLevelType w:val="hybridMultilevel"/>
    <w:tmpl w:val="0F383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71B6"/>
    <w:multiLevelType w:val="hybridMultilevel"/>
    <w:tmpl w:val="38B27F40"/>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C5FAC"/>
    <w:multiLevelType w:val="hybridMultilevel"/>
    <w:tmpl w:val="17B6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F6276C"/>
    <w:multiLevelType w:val="hybridMultilevel"/>
    <w:tmpl w:val="35A2EF7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C7DFA"/>
    <w:multiLevelType w:val="hybridMultilevel"/>
    <w:tmpl w:val="62D88C2E"/>
    <w:lvl w:ilvl="0" w:tplc="1CAE9B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D616A95"/>
    <w:multiLevelType w:val="hybridMultilevel"/>
    <w:tmpl w:val="537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23C25"/>
    <w:multiLevelType w:val="hybridMultilevel"/>
    <w:tmpl w:val="873EBAD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273D6"/>
    <w:multiLevelType w:val="hybridMultilevel"/>
    <w:tmpl w:val="210AE9AC"/>
    <w:lvl w:ilvl="0" w:tplc="1DA247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E9250FD"/>
    <w:multiLevelType w:val="hybridMultilevel"/>
    <w:tmpl w:val="5C2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D4607"/>
    <w:multiLevelType w:val="hybridMultilevel"/>
    <w:tmpl w:val="8DA0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42FC3"/>
    <w:multiLevelType w:val="hybridMultilevel"/>
    <w:tmpl w:val="D4881A06"/>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52D72"/>
    <w:multiLevelType w:val="hybridMultilevel"/>
    <w:tmpl w:val="4EFA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52689"/>
    <w:multiLevelType w:val="hybridMultilevel"/>
    <w:tmpl w:val="2124D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E27657"/>
    <w:multiLevelType w:val="hybridMultilevel"/>
    <w:tmpl w:val="5412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6"/>
  </w:num>
  <w:num w:numId="5">
    <w:abstractNumId w:val="4"/>
  </w:num>
  <w:num w:numId="6">
    <w:abstractNumId w:val="14"/>
  </w:num>
  <w:num w:numId="7">
    <w:abstractNumId w:val="0"/>
  </w:num>
  <w:num w:numId="8">
    <w:abstractNumId w:val="10"/>
  </w:num>
  <w:num w:numId="9">
    <w:abstractNumId w:val="7"/>
  </w:num>
  <w:num w:numId="10">
    <w:abstractNumId w:val="9"/>
  </w:num>
  <w:num w:numId="11">
    <w:abstractNumId w:val="12"/>
  </w:num>
  <w:num w:numId="12">
    <w:abstractNumId w:val="1"/>
  </w:num>
  <w:num w:numId="13">
    <w:abstractNumId w:val="3"/>
  </w:num>
  <w:num w:numId="14">
    <w:abstractNumId w:val="6"/>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F58C1A-BD7E-406B-B3D5-7679035D6F87}"/>
    <w:docVar w:name="dgnword-eventsink" w:val="3600928"/>
  </w:docVars>
  <w:rsids>
    <w:rsidRoot w:val="000E7CAC"/>
    <w:rsid w:val="000022E6"/>
    <w:rsid w:val="0001171C"/>
    <w:rsid w:val="00016BA4"/>
    <w:rsid w:val="0002057F"/>
    <w:rsid w:val="00021A9E"/>
    <w:rsid w:val="000264E2"/>
    <w:rsid w:val="00030C44"/>
    <w:rsid w:val="000447CA"/>
    <w:rsid w:val="00050962"/>
    <w:rsid w:val="000534B7"/>
    <w:rsid w:val="00061FCB"/>
    <w:rsid w:val="0007477A"/>
    <w:rsid w:val="000754DB"/>
    <w:rsid w:val="00075D39"/>
    <w:rsid w:val="0008058B"/>
    <w:rsid w:val="00086DCA"/>
    <w:rsid w:val="0008705D"/>
    <w:rsid w:val="00090829"/>
    <w:rsid w:val="00095326"/>
    <w:rsid w:val="00096C06"/>
    <w:rsid w:val="000A12DC"/>
    <w:rsid w:val="000B38AA"/>
    <w:rsid w:val="000B6A0F"/>
    <w:rsid w:val="000E2E10"/>
    <w:rsid w:val="000E7CAC"/>
    <w:rsid w:val="000F20CE"/>
    <w:rsid w:val="00100A89"/>
    <w:rsid w:val="00120FB1"/>
    <w:rsid w:val="00122C33"/>
    <w:rsid w:val="001274C2"/>
    <w:rsid w:val="00152607"/>
    <w:rsid w:val="00163ED2"/>
    <w:rsid w:val="0017399D"/>
    <w:rsid w:val="00173E2C"/>
    <w:rsid w:val="00182AE3"/>
    <w:rsid w:val="00182F53"/>
    <w:rsid w:val="00184EE9"/>
    <w:rsid w:val="00185818"/>
    <w:rsid w:val="00185E44"/>
    <w:rsid w:val="00186770"/>
    <w:rsid w:val="001943EE"/>
    <w:rsid w:val="001A5E91"/>
    <w:rsid w:val="001B5058"/>
    <w:rsid w:val="001B76D6"/>
    <w:rsid w:val="001C0682"/>
    <w:rsid w:val="001C37D3"/>
    <w:rsid w:val="001D0603"/>
    <w:rsid w:val="001D5C7F"/>
    <w:rsid w:val="001E0EEF"/>
    <w:rsid w:val="001E258A"/>
    <w:rsid w:val="001E28BC"/>
    <w:rsid w:val="001F2AAF"/>
    <w:rsid w:val="001F306F"/>
    <w:rsid w:val="001F63A9"/>
    <w:rsid w:val="00202A5F"/>
    <w:rsid w:val="002060FC"/>
    <w:rsid w:val="00211F32"/>
    <w:rsid w:val="00216DC7"/>
    <w:rsid w:val="00226CC6"/>
    <w:rsid w:val="002273A6"/>
    <w:rsid w:val="00230B59"/>
    <w:rsid w:val="0023299B"/>
    <w:rsid w:val="00234456"/>
    <w:rsid w:val="00234E94"/>
    <w:rsid w:val="002355BA"/>
    <w:rsid w:val="00237477"/>
    <w:rsid w:val="002430E2"/>
    <w:rsid w:val="00247889"/>
    <w:rsid w:val="00247B27"/>
    <w:rsid w:val="00254058"/>
    <w:rsid w:val="00274391"/>
    <w:rsid w:val="00281738"/>
    <w:rsid w:val="002A0652"/>
    <w:rsid w:val="002A199F"/>
    <w:rsid w:val="002A6CD6"/>
    <w:rsid w:val="002B3232"/>
    <w:rsid w:val="002B4F8C"/>
    <w:rsid w:val="002B701D"/>
    <w:rsid w:val="002D6311"/>
    <w:rsid w:val="002E1B4A"/>
    <w:rsid w:val="0030223C"/>
    <w:rsid w:val="00304AA4"/>
    <w:rsid w:val="00316166"/>
    <w:rsid w:val="00324558"/>
    <w:rsid w:val="003302B8"/>
    <w:rsid w:val="003372D6"/>
    <w:rsid w:val="00340A2F"/>
    <w:rsid w:val="00342F32"/>
    <w:rsid w:val="00346AB4"/>
    <w:rsid w:val="00353EAA"/>
    <w:rsid w:val="00357212"/>
    <w:rsid w:val="003655FA"/>
    <w:rsid w:val="00374104"/>
    <w:rsid w:val="00374257"/>
    <w:rsid w:val="0037613F"/>
    <w:rsid w:val="0038624C"/>
    <w:rsid w:val="00395747"/>
    <w:rsid w:val="003A110C"/>
    <w:rsid w:val="003B0887"/>
    <w:rsid w:val="003E59D6"/>
    <w:rsid w:val="003F44E7"/>
    <w:rsid w:val="00401E12"/>
    <w:rsid w:val="00411AAA"/>
    <w:rsid w:val="0042530B"/>
    <w:rsid w:val="00430AD8"/>
    <w:rsid w:val="00431DC3"/>
    <w:rsid w:val="00433517"/>
    <w:rsid w:val="00443FA8"/>
    <w:rsid w:val="004641EB"/>
    <w:rsid w:val="00477955"/>
    <w:rsid w:val="00481C6B"/>
    <w:rsid w:val="004A06D0"/>
    <w:rsid w:val="004B423F"/>
    <w:rsid w:val="004C5386"/>
    <w:rsid w:val="004C7810"/>
    <w:rsid w:val="004D6448"/>
    <w:rsid w:val="004D705B"/>
    <w:rsid w:val="004F3004"/>
    <w:rsid w:val="005074DC"/>
    <w:rsid w:val="0051309C"/>
    <w:rsid w:val="0052076D"/>
    <w:rsid w:val="00526398"/>
    <w:rsid w:val="00553D64"/>
    <w:rsid w:val="00556E91"/>
    <w:rsid w:val="005731F3"/>
    <w:rsid w:val="0058187C"/>
    <w:rsid w:val="00582169"/>
    <w:rsid w:val="00585169"/>
    <w:rsid w:val="00591E4F"/>
    <w:rsid w:val="00592C1E"/>
    <w:rsid w:val="005938E5"/>
    <w:rsid w:val="00594257"/>
    <w:rsid w:val="0059668D"/>
    <w:rsid w:val="005968B4"/>
    <w:rsid w:val="00597022"/>
    <w:rsid w:val="005A4111"/>
    <w:rsid w:val="005C3DE9"/>
    <w:rsid w:val="005D1CF3"/>
    <w:rsid w:val="005D379B"/>
    <w:rsid w:val="005D51D2"/>
    <w:rsid w:val="005D67CB"/>
    <w:rsid w:val="005E1968"/>
    <w:rsid w:val="00610ABA"/>
    <w:rsid w:val="0061499B"/>
    <w:rsid w:val="006214EC"/>
    <w:rsid w:val="0063314E"/>
    <w:rsid w:val="006343A6"/>
    <w:rsid w:val="006503B1"/>
    <w:rsid w:val="00656D75"/>
    <w:rsid w:val="00670238"/>
    <w:rsid w:val="0067220E"/>
    <w:rsid w:val="00681ED8"/>
    <w:rsid w:val="00696EB2"/>
    <w:rsid w:val="006A3FBE"/>
    <w:rsid w:val="006C3FFD"/>
    <w:rsid w:val="006D723E"/>
    <w:rsid w:val="006E1FD8"/>
    <w:rsid w:val="006E3D58"/>
    <w:rsid w:val="006E4775"/>
    <w:rsid w:val="006E49B1"/>
    <w:rsid w:val="006E5D5C"/>
    <w:rsid w:val="006F53B8"/>
    <w:rsid w:val="006F711C"/>
    <w:rsid w:val="006F7B69"/>
    <w:rsid w:val="00701914"/>
    <w:rsid w:val="00707C0B"/>
    <w:rsid w:val="0071033B"/>
    <w:rsid w:val="00712DBD"/>
    <w:rsid w:val="0072265D"/>
    <w:rsid w:val="00724B23"/>
    <w:rsid w:val="00744CE4"/>
    <w:rsid w:val="007536FF"/>
    <w:rsid w:val="00755850"/>
    <w:rsid w:val="00793739"/>
    <w:rsid w:val="007979C1"/>
    <w:rsid w:val="007A6787"/>
    <w:rsid w:val="007A7C27"/>
    <w:rsid w:val="007B7849"/>
    <w:rsid w:val="007F1C78"/>
    <w:rsid w:val="007F3F1E"/>
    <w:rsid w:val="0081254F"/>
    <w:rsid w:val="00814A20"/>
    <w:rsid w:val="008156A4"/>
    <w:rsid w:val="0081654D"/>
    <w:rsid w:val="00822EC5"/>
    <w:rsid w:val="00824BA0"/>
    <w:rsid w:val="00833FC5"/>
    <w:rsid w:val="0083623D"/>
    <w:rsid w:val="00846AFA"/>
    <w:rsid w:val="008505FE"/>
    <w:rsid w:val="00866F5C"/>
    <w:rsid w:val="00870146"/>
    <w:rsid w:val="00874CF0"/>
    <w:rsid w:val="00880D33"/>
    <w:rsid w:val="008923F8"/>
    <w:rsid w:val="00892645"/>
    <w:rsid w:val="008A2000"/>
    <w:rsid w:val="008C19EB"/>
    <w:rsid w:val="008C51FD"/>
    <w:rsid w:val="008D477B"/>
    <w:rsid w:val="008D48B8"/>
    <w:rsid w:val="008E5EF6"/>
    <w:rsid w:val="008E6143"/>
    <w:rsid w:val="008E7A3C"/>
    <w:rsid w:val="008F05B1"/>
    <w:rsid w:val="008F062F"/>
    <w:rsid w:val="008F5EED"/>
    <w:rsid w:val="008F7351"/>
    <w:rsid w:val="009041A6"/>
    <w:rsid w:val="0090475D"/>
    <w:rsid w:val="0090751A"/>
    <w:rsid w:val="00914640"/>
    <w:rsid w:val="00917399"/>
    <w:rsid w:val="0092648B"/>
    <w:rsid w:val="009265F1"/>
    <w:rsid w:val="00947FEB"/>
    <w:rsid w:val="009541EF"/>
    <w:rsid w:val="00963674"/>
    <w:rsid w:val="0096645A"/>
    <w:rsid w:val="009701CB"/>
    <w:rsid w:val="00970626"/>
    <w:rsid w:val="0097113E"/>
    <w:rsid w:val="0097571C"/>
    <w:rsid w:val="0098274F"/>
    <w:rsid w:val="009828C4"/>
    <w:rsid w:val="009855BF"/>
    <w:rsid w:val="0098716B"/>
    <w:rsid w:val="00987475"/>
    <w:rsid w:val="00987ED6"/>
    <w:rsid w:val="00990045"/>
    <w:rsid w:val="009978E0"/>
    <w:rsid w:val="009A258B"/>
    <w:rsid w:val="009A442B"/>
    <w:rsid w:val="009B2DD0"/>
    <w:rsid w:val="009B7B7E"/>
    <w:rsid w:val="009C0DD4"/>
    <w:rsid w:val="009C1DBD"/>
    <w:rsid w:val="009C3FBE"/>
    <w:rsid w:val="009C42F1"/>
    <w:rsid w:val="009C72EC"/>
    <w:rsid w:val="009D2914"/>
    <w:rsid w:val="009D3D28"/>
    <w:rsid w:val="009E2599"/>
    <w:rsid w:val="009F1E18"/>
    <w:rsid w:val="009F24E8"/>
    <w:rsid w:val="009F4D38"/>
    <w:rsid w:val="009F5976"/>
    <w:rsid w:val="00A01512"/>
    <w:rsid w:val="00A059B2"/>
    <w:rsid w:val="00A063B7"/>
    <w:rsid w:val="00A20FA0"/>
    <w:rsid w:val="00A249D9"/>
    <w:rsid w:val="00A26FC2"/>
    <w:rsid w:val="00A40E55"/>
    <w:rsid w:val="00A40EB9"/>
    <w:rsid w:val="00A5010A"/>
    <w:rsid w:val="00A56B66"/>
    <w:rsid w:val="00A83CA3"/>
    <w:rsid w:val="00A9524B"/>
    <w:rsid w:val="00A95A6B"/>
    <w:rsid w:val="00AA2681"/>
    <w:rsid w:val="00AA283D"/>
    <w:rsid w:val="00AA2ECB"/>
    <w:rsid w:val="00AB36AC"/>
    <w:rsid w:val="00AC49E4"/>
    <w:rsid w:val="00AC74A8"/>
    <w:rsid w:val="00AD27A8"/>
    <w:rsid w:val="00AE3F3B"/>
    <w:rsid w:val="00AE5EFF"/>
    <w:rsid w:val="00AF430D"/>
    <w:rsid w:val="00B15A66"/>
    <w:rsid w:val="00B221BB"/>
    <w:rsid w:val="00B22C8B"/>
    <w:rsid w:val="00B23B13"/>
    <w:rsid w:val="00B27A07"/>
    <w:rsid w:val="00B31977"/>
    <w:rsid w:val="00B338E6"/>
    <w:rsid w:val="00B35EB8"/>
    <w:rsid w:val="00B40EFE"/>
    <w:rsid w:val="00B50DD1"/>
    <w:rsid w:val="00B52EDE"/>
    <w:rsid w:val="00B77C40"/>
    <w:rsid w:val="00BA15C5"/>
    <w:rsid w:val="00BA198C"/>
    <w:rsid w:val="00BB3FCE"/>
    <w:rsid w:val="00BC262C"/>
    <w:rsid w:val="00BC6BDF"/>
    <w:rsid w:val="00BD6F3A"/>
    <w:rsid w:val="00BE421C"/>
    <w:rsid w:val="00BE687A"/>
    <w:rsid w:val="00BF0463"/>
    <w:rsid w:val="00C04BDB"/>
    <w:rsid w:val="00C05295"/>
    <w:rsid w:val="00C11486"/>
    <w:rsid w:val="00C14BF3"/>
    <w:rsid w:val="00C15D57"/>
    <w:rsid w:val="00C264EC"/>
    <w:rsid w:val="00C43B04"/>
    <w:rsid w:val="00C51B17"/>
    <w:rsid w:val="00C57409"/>
    <w:rsid w:val="00C61992"/>
    <w:rsid w:val="00C63A18"/>
    <w:rsid w:val="00C949CA"/>
    <w:rsid w:val="00C950FD"/>
    <w:rsid w:val="00CA13E2"/>
    <w:rsid w:val="00CB20F1"/>
    <w:rsid w:val="00CC1EE7"/>
    <w:rsid w:val="00CC3BC3"/>
    <w:rsid w:val="00CC4AC2"/>
    <w:rsid w:val="00CD3773"/>
    <w:rsid w:val="00CD3816"/>
    <w:rsid w:val="00CE3088"/>
    <w:rsid w:val="00CE582E"/>
    <w:rsid w:val="00D00070"/>
    <w:rsid w:val="00D022F7"/>
    <w:rsid w:val="00D024EC"/>
    <w:rsid w:val="00D06637"/>
    <w:rsid w:val="00D0784A"/>
    <w:rsid w:val="00D14BF8"/>
    <w:rsid w:val="00D17FB0"/>
    <w:rsid w:val="00D25CED"/>
    <w:rsid w:val="00D32555"/>
    <w:rsid w:val="00D4615E"/>
    <w:rsid w:val="00D476B5"/>
    <w:rsid w:val="00D552E2"/>
    <w:rsid w:val="00D55921"/>
    <w:rsid w:val="00D64C18"/>
    <w:rsid w:val="00D656AE"/>
    <w:rsid w:val="00D864AD"/>
    <w:rsid w:val="00D87A8F"/>
    <w:rsid w:val="00D923EA"/>
    <w:rsid w:val="00D93467"/>
    <w:rsid w:val="00D9382A"/>
    <w:rsid w:val="00DA4CDB"/>
    <w:rsid w:val="00DB07AB"/>
    <w:rsid w:val="00DB4EBE"/>
    <w:rsid w:val="00DB5D8A"/>
    <w:rsid w:val="00DC5238"/>
    <w:rsid w:val="00DD4848"/>
    <w:rsid w:val="00DD6D65"/>
    <w:rsid w:val="00DE3C47"/>
    <w:rsid w:val="00DF591E"/>
    <w:rsid w:val="00E04213"/>
    <w:rsid w:val="00E10F9A"/>
    <w:rsid w:val="00E1112C"/>
    <w:rsid w:val="00E14783"/>
    <w:rsid w:val="00E15529"/>
    <w:rsid w:val="00E200B7"/>
    <w:rsid w:val="00E21B31"/>
    <w:rsid w:val="00E26837"/>
    <w:rsid w:val="00E547AD"/>
    <w:rsid w:val="00E70491"/>
    <w:rsid w:val="00E7432E"/>
    <w:rsid w:val="00E76B6B"/>
    <w:rsid w:val="00E83612"/>
    <w:rsid w:val="00EA1EAE"/>
    <w:rsid w:val="00EB04E0"/>
    <w:rsid w:val="00EC30BF"/>
    <w:rsid w:val="00EC4AB6"/>
    <w:rsid w:val="00EC6A46"/>
    <w:rsid w:val="00EC7B66"/>
    <w:rsid w:val="00ED0C57"/>
    <w:rsid w:val="00ED4F71"/>
    <w:rsid w:val="00ED5947"/>
    <w:rsid w:val="00ED6997"/>
    <w:rsid w:val="00EF540F"/>
    <w:rsid w:val="00EF5658"/>
    <w:rsid w:val="00F0157B"/>
    <w:rsid w:val="00F02CE9"/>
    <w:rsid w:val="00F051DB"/>
    <w:rsid w:val="00F25C24"/>
    <w:rsid w:val="00F261C5"/>
    <w:rsid w:val="00F26929"/>
    <w:rsid w:val="00F27C07"/>
    <w:rsid w:val="00F33B0C"/>
    <w:rsid w:val="00F33B80"/>
    <w:rsid w:val="00F35AEF"/>
    <w:rsid w:val="00F36A30"/>
    <w:rsid w:val="00F44532"/>
    <w:rsid w:val="00F44784"/>
    <w:rsid w:val="00F63B02"/>
    <w:rsid w:val="00F806A7"/>
    <w:rsid w:val="00F85BF9"/>
    <w:rsid w:val="00F87B4D"/>
    <w:rsid w:val="00FA0EAE"/>
    <w:rsid w:val="00FB174A"/>
    <w:rsid w:val="00FB297F"/>
    <w:rsid w:val="00FB74DA"/>
    <w:rsid w:val="00FC1931"/>
    <w:rsid w:val="00FC2BEF"/>
    <w:rsid w:val="00FC2D10"/>
    <w:rsid w:val="00FD098A"/>
    <w:rsid w:val="00FD1F68"/>
    <w:rsid w:val="00FD5184"/>
    <w:rsid w:val="00FD7DA0"/>
    <w:rsid w:val="00FF14DA"/>
    <w:rsid w:val="00FF1CC0"/>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9152B"/>
  <w15:docId w15:val="{9F4168B1-E778-463B-A5FB-901FCFFA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8"/>
    <w:rPr>
      <w:rFonts w:asciiTheme="minorHAnsi" w:hAnsiTheme="minorHAnsi"/>
      <w:sz w:val="24"/>
    </w:rPr>
  </w:style>
  <w:style w:type="paragraph" w:styleId="Heading1">
    <w:name w:val="heading 1"/>
    <w:basedOn w:val="Normal"/>
    <w:next w:val="Normal"/>
    <w:link w:val="Heading1Char"/>
    <w:qFormat/>
    <w:rsid w:val="001943EE"/>
    <w:pPr>
      <w:keepNext/>
      <w:keepLines/>
      <w:outlineLvl w:val="0"/>
    </w:pPr>
    <w:rPr>
      <w:rFonts w:eastAsiaTheme="majorEastAsia" w:cstheme="majorBidi"/>
      <w:b/>
      <w:bCs/>
      <w:sz w:val="32"/>
      <w:szCs w:val="28"/>
    </w:rPr>
  </w:style>
  <w:style w:type="paragraph" w:styleId="Heading2">
    <w:name w:val="heading 2"/>
    <w:basedOn w:val="Normal"/>
    <w:next w:val="Normal"/>
    <w:link w:val="Heading2Char"/>
    <w:semiHidden/>
    <w:unhideWhenUsed/>
    <w:qFormat/>
    <w:rsid w:val="00ED6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D69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2645"/>
    <w:pPr>
      <w:tabs>
        <w:tab w:val="center" w:pos="4320"/>
        <w:tab w:val="right" w:pos="8640"/>
      </w:tabs>
    </w:pPr>
  </w:style>
  <w:style w:type="paragraph" w:styleId="Footer">
    <w:name w:val="footer"/>
    <w:basedOn w:val="Normal"/>
    <w:link w:val="FooterChar"/>
    <w:uiPriority w:val="99"/>
    <w:rsid w:val="00892645"/>
    <w:pPr>
      <w:tabs>
        <w:tab w:val="center" w:pos="4320"/>
        <w:tab w:val="right" w:pos="8640"/>
      </w:tabs>
    </w:pPr>
  </w:style>
  <w:style w:type="character" w:styleId="Hyperlink">
    <w:name w:val="Hyperlink"/>
    <w:rsid w:val="00021A9E"/>
    <w:rPr>
      <w:color w:val="0000FF"/>
      <w:u w:val="single"/>
    </w:rPr>
  </w:style>
  <w:style w:type="character" w:styleId="FollowedHyperlink">
    <w:name w:val="FollowedHyperlink"/>
    <w:rsid w:val="00021A9E"/>
    <w:rPr>
      <w:color w:val="800080"/>
      <w:u w:val="single"/>
    </w:rPr>
  </w:style>
  <w:style w:type="paragraph" w:styleId="BalloonText">
    <w:name w:val="Balloon Text"/>
    <w:basedOn w:val="Normal"/>
    <w:link w:val="BalloonTextChar"/>
    <w:rsid w:val="00553D64"/>
    <w:rPr>
      <w:rFonts w:ascii="Tahoma" w:hAnsi="Tahoma" w:cs="Tahoma"/>
      <w:sz w:val="16"/>
      <w:szCs w:val="16"/>
    </w:rPr>
  </w:style>
  <w:style w:type="character" w:customStyle="1" w:styleId="BalloonTextChar">
    <w:name w:val="Balloon Text Char"/>
    <w:link w:val="BalloonText"/>
    <w:rsid w:val="00553D64"/>
    <w:rPr>
      <w:rFonts w:ascii="Tahoma" w:hAnsi="Tahoma" w:cs="Tahoma"/>
      <w:sz w:val="16"/>
      <w:szCs w:val="16"/>
    </w:rPr>
  </w:style>
  <w:style w:type="character" w:styleId="CommentReference">
    <w:name w:val="annotation reference"/>
    <w:rsid w:val="006E1FD8"/>
    <w:rPr>
      <w:sz w:val="16"/>
      <w:szCs w:val="16"/>
    </w:rPr>
  </w:style>
  <w:style w:type="paragraph" w:styleId="CommentText">
    <w:name w:val="annotation text"/>
    <w:basedOn w:val="Normal"/>
    <w:link w:val="CommentTextChar"/>
    <w:rsid w:val="006E1FD8"/>
  </w:style>
  <w:style w:type="character" w:customStyle="1" w:styleId="CommentTextChar">
    <w:name w:val="Comment Text Char"/>
    <w:basedOn w:val="DefaultParagraphFont"/>
    <w:link w:val="CommentText"/>
    <w:rsid w:val="006E1FD8"/>
  </w:style>
  <w:style w:type="paragraph" w:styleId="CommentSubject">
    <w:name w:val="annotation subject"/>
    <w:basedOn w:val="CommentText"/>
    <w:next w:val="CommentText"/>
    <w:link w:val="CommentSubjectChar"/>
    <w:rsid w:val="006E1FD8"/>
    <w:rPr>
      <w:b/>
      <w:bCs/>
    </w:rPr>
  </w:style>
  <w:style w:type="character" w:customStyle="1" w:styleId="CommentSubjectChar">
    <w:name w:val="Comment Subject Char"/>
    <w:link w:val="CommentSubject"/>
    <w:rsid w:val="006E1FD8"/>
    <w:rPr>
      <w:b/>
      <w:bCs/>
    </w:rPr>
  </w:style>
  <w:style w:type="character" w:customStyle="1" w:styleId="HeaderChar">
    <w:name w:val="Header Char"/>
    <w:link w:val="Header"/>
    <w:uiPriority w:val="99"/>
    <w:rsid w:val="006E4775"/>
  </w:style>
  <w:style w:type="character" w:customStyle="1" w:styleId="FooterChar">
    <w:name w:val="Footer Char"/>
    <w:link w:val="Footer"/>
    <w:uiPriority w:val="99"/>
    <w:rsid w:val="00F44784"/>
  </w:style>
  <w:style w:type="character" w:styleId="PageNumber">
    <w:name w:val="page number"/>
    <w:basedOn w:val="DefaultParagraphFont"/>
    <w:unhideWhenUsed/>
    <w:rsid w:val="00F44784"/>
  </w:style>
  <w:style w:type="paragraph" w:styleId="ListParagraph">
    <w:name w:val="List Paragraph"/>
    <w:basedOn w:val="Normal"/>
    <w:uiPriority w:val="34"/>
    <w:qFormat/>
    <w:rsid w:val="00324558"/>
    <w:pPr>
      <w:ind w:left="720"/>
      <w:contextualSpacing/>
    </w:pPr>
  </w:style>
  <w:style w:type="character" w:styleId="PlaceholderText">
    <w:name w:val="Placeholder Text"/>
    <w:basedOn w:val="DefaultParagraphFont"/>
    <w:uiPriority w:val="99"/>
    <w:semiHidden/>
    <w:rsid w:val="000E7CAC"/>
    <w:rPr>
      <w:color w:val="808080"/>
    </w:rPr>
  </w:style>
  <w:style w:type="character" w:customStyle="1" w:styleId="Style1">
    <w:name w:val="Style1"/>
    <w:basedOn w:val="DefaultParagraphFont"/>
    <w:uiPriority w:val="1"/>
    <w:qFormat/>
    <w:rsid w:val="00481C6B"/>
    <w:rPr>
      <w:rFonts w:asciiTheme="minorHAnsi" w:hAnsiTheme="minorHAnsi"/>
      <w:sz w:val="24"/>
    </w:rPr>
  </w:style>
  <w:style w:type="character" w:customStyle="1" w:styleId="Style2">
    <w:name w:val="Style2"/>
    <w:basedOn w:val="DefaultParagraphFont"/>
    <w:uiPriority w:val="1"/>
    <w:rsid w:val="006D723E"/>
    <w:rPr>
      <w:rFonts w:asciiTheme="minorHAnsi" w:hAnsiTheme="minorHAnsi"/>
      <w:b/>
      <w:color w:val="FFFFFF" w:themeColor="background1"/>
      <w:sz w:val="24"/>
    </w:rPr>
  </w:style>
  <w:style w:type="character" w:customStyle="1" w:styleId="Heading1Char">
    <w:name w:val="Heading 1 Char"/>
    <w:basedOn w:val="DefaultParagraphFont"/>
    <w:link w:val="Heading1"/>
    <w:rsid w:val="001943EE"/>
    <w:rPr>
      <w:rFonts w:asciiTheme="minorHAnsi" w:eastAsiaTheme="majorEastAsia" w:hAnsiTheme="minorHAnsi" w:cstheme="majorBidi"/>
      <w:b/>
      <w:bCs/>
      <w:sz w:val="32"/>
      <w:szCs w:val="28"/>
    </w:rPr>
  </w:style>
  <w:style w:type="character" w:customStyle="1" w:styleId="Heading2Char">
    <w:name w:val="Heading 2 Char"/>
    <w:basedOn w:val="DefaultParagraphFont"/>
    <w:link w:val="Heading2"/>
    <w:semiHidden/>
    <w:rsid w:val="00ED69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D6997"/>
    <w:rPr>
      <w:rFonts w:asciiTheme="majorHAnsi" w:eastAsiaTheme="majorEastAsia" w:hAnsiTheme="majorHAnsi" w:cstheme="majorBidi"/>
      <w:b/>
      <w:bCs/>
      <w:color w:val="4F81BD" w:themeColor="accent1"/>
      <w:sz w:val="24"/>
    </w:rPr>
  </w:style>
  <w:style w:type="paragraph" w:styleId="BodyTextIndent">
    <w:name w:val="Body Text Indent"/>
    <w:basedOn w:val="Normal"/>
    <w:link w:val="BodyTextIndentChar"/>
    <w:rsid w:val="004D6448"/>
    <w:pPr>
      <w:widowControl w:val="0"/>
      <w:ind w:left="720"/>
    </w:pPr>
    <w:rPr>
      <w:rFonts w:ascii="CG Times" w:hAnsi="CG Times"/>
      <w:snapToGrid w:val="0"/>
      <w:sz w:val="22"/>
    </w:rPr>
  </w:style>
  <w:style w:type="character" w:customStyle="1" w:styleId="BodyTextIndentChar">
    <w:name w:val="Body Text Indent Char"/>
    <w:basedOn w:val="DefaultParagraphFont"/>
    <w:link w:val="BodyTextIndent"/>
    <w:rsid w:val="004D6448"/>
    <w:rPr>
      <w:rFonts w:ascii="CG Times" w:hAnsi="CG Times"/>
      <w:snapToGrid w:val="0"/>
      <w:sz w:val="22"/>
    </w:rPr>
  </w:style>
  <w:style w:type="paragraph" w:styleId="Title">
    <w:name w:val="Title"/>
    <w:basedOn w:val="Normal"/>
    <w:link w:val="TitleChar"/>
    <w:qFormat/>
    <w:rsid w:val="004D6448"/>
    <w:pPr>
      <w:widowControl w:val="0"/>
      <w:jc w:val="center"/>
    </w:pPr>
    <w:rPr>
      <w:rFonts w:ascii="CG Times" w:hAnsi="CG Times"/>
      <w:b/>
      <w:snapToGrid w:val="0"/>
      <w:sz w:val="22"/>
    </w:rPr>
  </w:style>
  <w:style w:type="character" w:customStyle="1" w:styleId="TitleChar">
    <w:name w:val="Title Char"/>
    <w:basedOn w:val="DefaultParagraphFont"/>
    <w:link w:val="Title"/>
    <w:rsid w:val="004D6448"/>
    <w:rPr>
      <w:rFonts w:ascii="CG Times" w:hAnsi="CG Times"/>
      <w:b/>
      <w:snapToGrid w:val="0"/>
      <w:sz w:val="22"/>
    </w:rPr>
  </w:style>
  <w:style w:type="paragraph" w:styleId="BodyTextIndent2">
    <w:name w:val="Body Text Indent 2"/>
    <w:basedOn w:val="Normal"/>
    <w:link w:val="BodyTextIndent2Char"/>
    <w:rsid w:val="004D6448"/>
    <w:pPr>
      <w:widowControl w:val="0"/>
      <w:ind w:left="720" w:hanging="720"/>
    </w:pPr>
    <w:rPr>
      <w:rFonts w:ascii="CG Times" w:hAnsi="CG Times"/>
      <w:snapToGrid w:val="0"/>
      <w:sz w:val="22"/>
    </w:rPr>
  </w:style>
  <w:style w:type="character" w:customStyle="1" w:styleId="BodyTextIndent2Char">
    <w:name w:val="Body Text Indent 2 Char"/>
    <w:basedOn w:val="DefaultParagraphFont"/>
    <w:link w:val="BodyTextIndent2"/>
    <w:rsid w:val="004D6448"/>
    <w:rPr>
      <w:rFonts w:ascii="CG Times" w:hAnsi="CG Times"/>
      <w:snapToGrid w:val="0"/>
      <w:sz w:val="22"/>
    </w:rPr>
  </w:style>
  <w:style w:type="paragraph" w:styleId="BodyTextIndent3">
    <w:name w:val="Body Text Indent 3"/>
    <w:basedOn w:val="Normal"/>
    <w:link w:val="BodyTextIndent3Char"/>
    <w:rsid w:val="004D6448"/>
    <w:pPr>
      <w:widowControl w:val="0"/>
      <w:spacing w:before="100" w:beforeAutospacing="1" w:after="100" w:afterAutospacing="1"/>
      <w:ind w:left="990" w:hanging="270"/>
    </w:pPr>
    <w:rPr>
      <w:rFonts w:ascii="Times New Roman" w:hAnsi="Times New Roman"/>
      <w:snapToGrid w:val="0"/>
      <w:sz w:val="18"/>
    </w:rPr>
  </w:style>
  <w:style w:type="character" w:customStyle="1" w:styleId="BodyTextIndent3Char">
    <w:name w:val="Body Text Indent 3 Char"/>
    <w:basedOn w:val="DefaultParagraphFont"/>
    <w:link w:val="BodyTextIndent3"/>
    <w:rsid w:val="004D6448"/>
    <w:rPr>
      <w:snapToGrid w:val="0"/>
      <w:sz w:val="18"/>
    </w:rPr>
  </w:style>
  <w:style w:type="character" w:customStyle="1" w:styleId="14Calibri">
    <w:name w:val="14 Calibri"/>
    <w:basedOn w:val="DefaultParagraphFont"/>
    <w:uiPriority w:val="1"/>
    <w:qFormat/>
    <w:rsid w:val="00C15D57"/>
    <w:rPr>
      <w:rFonts w:asciiTheme="minorHAnsi" w:hAnsiTheme="minorHAnsi"/>
      <w:sz w:val="28"/>
    </w:rPr>
  </w:style>
  <w:style w:type="character" w:customStyle="1" w:styleId="14Bold">
    <w:name w:val="14 Bold"/>
    <w:basedOn w:val="DefaultParagraphFont"/>
    <w:uiPriority w:val="1"/>
    <w:qFormat/>
    <w:rsid w:val="0008058B"/>
    <w:rPr>
      <w:rFonts w:asciiTheme="minorHAnsi" w:hAnsiTheme="minorHAnsi"/>
      <w:b/>
      <w:sz w:val="28"/>
    </w:rPr>
  </w:style>
  <w:style w:type="character" w:customStyle="1" w:styleId="11Calibri">
    <w:name w:val="11 Calibri"/>
    <w:basedOn w:val="DefaultParagraphFont"/>
    <w:uiPriority w:val="1"/>
    <w:qFormat/>
    <w:rsid w:val="00963674"/>
    <w:rPr>
      <w:rFonts w:asciiTheme="minorHAnsi" w:hAnsiTheme="minorHAnsi"/>
      <w:sz w:val="22"/>
    </w:rPr>
  </w:style>
  <w:style w:type="table" w:styleId="TableGrid">
    <w:name w:val="Table Grid"/>
    <w:basedOn w:val="TableNormal"/>
    <w:uiPriority w:val="59"/>
    <w:rsid w:val="00477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E2599"/>
    <w:rPr>
      <w:rFonts w:asciiTheme="minorHAnsi" w:hAnsiTheme="minorHAnsi"/>
      <w:sz w:val="24"/>
    </w:rPr>
  </w:style>
  <w:style w:type="paragraph" w:styleId="PlainText">
    <w:name w:val="Plain Text"/>
    <w:basedOn w:val="Normal"/>
    <w:link w:val="PlainTextChar"/>
    <w:uiPriority w:val="99"/>
    <w:semiHidden/>
    <w:unhideWhenUsed/>
    <w:rsid w:val="00BE687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E687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253">
      <w:bodyDiv w:val="1"/>
      <w:marLeft w:val="0"/>
      <w:marRight w:val="0"/>
      <w:marTop w:val="0"/>
      <w:marBottom w:val="0"/>
      <w:divBdr>
        <w:top w:val="none" w:sz="0" w:space="0" w:color="auto"/>
        <w:left w:val="none" w:sz="0" w:space="0" w:color="auto"/>
        <w:bottom w:val="none" w:sz="0" w:space="0" w:color="auto"/>
        <w:right w:val="none" w:sz="0" w:space="0" w:color="auto"/>
      </w:divBdr>
    </w:div>
    <w:div w:id="913734964">
      <w:bodyDiv w:val="1"/>
      <w:marLeft w:val="0"/>
      <w:marRight w:val="0"/>
      <w:marTop w:val="0"/>
      <w:marBottom w:val="0"/>
      <w:divBdr>
        <w:top w:val="none" w:sz="0" w:space="0" w:color="auto"/>
        <w:left w:val="none" w:sz="0" w:space="0" w:color="auto"/>
        <w:bottom w:val="none" w:sz="0" w:space="0" w:color="auto"/>
        <w:right w:val="none" w:sz="0" w:space="0" w:color="auto"/>
      </w:divBdr>
    </w:div>
    <w:div w:id="1871794676">
      <w:bodyDiv w:val="1"/>
      <w:marLeft w:val="0"/>
      <w:marRight w:val="0"/>
      <w:marTop w:val="0"/>
      <w:marBottom w:val="0"/>
      <w:divBdr>
        <w:top w:val="none" w:sz="0" w:space="0" w:color="auto"/>
        <w:left w:val="none" w:sz="0" w:space="0" w:color="auto"/>
        <w:bottom w:val="none" w:sz="0" w:space="0" w:color="auto"/>
        <w:right w:val="none" w:sz="0" w:space="0" w:color="auto"/>
      </w:divBdr>
    </w:div>
    <w:div w:id="20432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den\AppData\Local\Microsoft\Windows\Temporary%20Internet%20Files\Content.Outlook\ELW8N2YM\PMCO%20new%20letter%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C1B572E0B48924468874FEC2971A3A28" ma:contentTypeVersion="8" ma:contentTypeDescription="Create a new document." ma:contentTypeScope="" ma:versionID="e0dacd138802ceb2d91785fabf9c0a03">
  <xsd:schema xmlns:xsd="http://www.w3.org/2001/XMLSchema" xmlns:xs="http://www.w3.org/2001/XMLSchema" xmlns:p="http://schemas.microsoft.com/office/2006/metadata/properties" xmlns:ns2="c6d9b406-8ab6-4e35-b189-c607f551e6ff" xmlns:ns3="8df1a368-12c3-4a9c-b33c-eedb2fa087d9" xmlns:ns4="f3c4de31-6e61-4aca-8a73-7ad4b69b9750" targetNamespace="http://schemas.microsoft.com/office/2006/metadata/properties" ma:root="true" ma:fieldsID="7eba5666d88fadb814845c9810219fe2" ns2:_="" ns3:_="" ns4:_="">
    <xsd:import namespace="c6d9b406-8ab6-4e35-b189-c607f551e6ff"/>
    <xsd:import namespace="8df1a368-12c3-4a9c-b33c-eedb2fa087d9"/>
    <xsd:import namespace="f3c4de31-6e61-4aca-8a73-7ad4b69b975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element ref="ns4:Links" minOccurs="0"/>
                <xsd:element ref="ns4: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4de31-6e61-4aca-8a73-7ad4b69b9750" elementFormDefault="qualified">
    <xsd:import namespace="http://schemas.microsoft.com/office/2006/documentManagement/types"/>
    <xsd:import namespace="http://schemas.microsoft.com/office/infopath/2007/PartnerControls"/>
    <xsd:element name="Links" ma:index="14" nillable="true" ma:displayName="Links" ma:description="Use this column to add links to a library."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Link" ma:index="1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6d9b406-8ab6-4e35-b189-c607f551e6ff"/>
    <_dlc_DocId xmlns="c6d9b406-8ab6-4e35-b189-c607f551e6ff">ZXNJAF6NFY6R-160-894</_dlc_DocId>
    <_dlc_DocIdUrl xmlns="c6d9b406-8ab6-4e35-b189-c607f551e6ff">
      <Url>https://eeredocman.ee.doe.gov/offices/EE-62P/Projects/APMCentral/_layouts/DocIdRedir.aspx?ID=ZXNJAF6NFY6R-160-894</Url>
      <Description>ZXNJAF6NFY6R-160-894</Description>
    </_dlc_DocIdUrl>
    <Link xmlns="f3c4de31-6e61-4aca-8a73-7ad4b69b9750">
      <Url xsi:nil="true"/>
      <Description xsi:nil="true"/>
    </Link>
    <Links xmlns="f3c4de31-6e61-4aca-8a73-7ad4b69b9750">
      <Url xsi:nil="true"/>
      <Description xsi:nil="true"/>
    </Link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7DDF-B633-4814-A5EA-4218AEFA6B18}">
  <ds:schemaRefs>
    <ds:schemaRef ds:uri="http://schemas.microsoft.com/sharepoint/v3/contenttype/forms"/>
  </ds:schemaRefs>
</ds:datastoreItem>
</file>

<file path=customXml/itemProps2.xml><?xml version="1.0" encoding="utf-8"?>
<ds:datastoreItem xmlns:ds="http://schemas.openxmlformats.org/officeDocument/2006/customXml" ds:itemID="{33126E3B-EE73-4437-A3CD-C9A49B43B72F}">
  <ds:schemaRefs>
    <ds:schemaRef ds:uri="http://schemas.microsoft.com/sharepoint/events"/>
  </ds:schemaRefs>
</ds:datastoreItem>
</file>

<file path=customXml/itemProps3.xml><?xml version="1.0" encoding="utf-8"?>
<ds:datastoreItem xmlns:ds="http://schemas.openxmlformats.org/officeDocument/2006/customXml" ds:itemID="{AC39B4AB-39C9-43DF-8600-A5BFB5C2B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f3c4de31-6e61-4aca-8a73-7ad4b69b9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EAC1D-A3C8-435C-83F0-35469928F9BE}">
  <ds:schemaRefs>
    <ds:schemaRef ds:uri="http://purl.org/dc/elements/1.1/"/>
    <ds:schemaRef ds:uri="http://purl.org/dc/terms/"/>
    <ds:schemaRef ds:uri="http://schemas.microsoft.com/office/2006/documentManagement/types"/>
    <ds:schemaRef ds:uri="f3c4de31-6e61-4aca-8a73-7ad4b69b9750"/>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8df1a368-12c3-4a9c-b33c-eedb2fa087d9"/>
    <ds:schemaRef ds:uri="c6d9b406-8ab6-4e35-b189-c607f551e6ff"/>
  </ds:schemaRefs>
</ds:datastoreItem>
</file>

<file path=customXml/itemProps5.xml><?xml version="1.0" encoding="utf-8"?>
<ds:datastoreItem xmlns:ds="http://schemas.openxmlformats.org/officeDocument/2006/customXml" ds:itemID="{4B408002-C078-41FB-BD90-72855628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PMCO new letter template 2.dotx</Template>
  <TotalTime>1</TotalTime>
  <Pages>9</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[DATE]</vt:lpstr>
    </vt:vector>
  </TitlesOfParts>
  <Company>U.S. Department of Energy - Golden Field Office</Company>
  <LinksUpToDate>false</LinksUpToDate>
  <CharactersWithSpaces>16979</CharactersWithSpaces>
  <SharedDoc>false</SharedDoc>
  <HLinks>
    <vt:vector size="6" baseType="variant">
      <vt:variant>
        <vt:i4>4259921</vt:i4>
      </vt:variant>
      <vt:variant>
        <vt:i4>0</vt:i4>
      </vt:variant>
      <vt:variant>
        <vt:i4>0</vt:i4>
      </vt:variant>
      <vt:variant>
        <vt:i4>5</vt:i4>
      </vt:variant>
      <vt:variant>
        <vt:lpwstr>http://professionals.pr.doe.gov/ma5/MA-5Web.nsf/WebAttachments/AcqGuide71pt1/$File/AcqGuide71pt1.doc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Jacobi, Jennifer</dc:creator>
  <cp:lastModifiedBy>Bobo, Diana</cp:lastModifiedBy>
  <cp:revision>2</cp:revision>
  <cp:lastPrinted>2006-11-07T14:22:00Z</cp:lastPrinted>
  <dcterms:created xsi:type="dcterms:W3CDTF">2020-11-06T18:08:00Z</dcterms:created>
  <dcterms:modified xsi:type="dcterms:W3CDTF">2020-11-06T18:08:00Z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0x010100C1B572E0B48924468874FEC2971A3A28</vt:lpwstr>
  </property>
  <property fmtid="{D5CDD505-2E9C-101B-9397-08002B2CF9AE}" pid="3" name="_dlc_DocIdItemGuid">
    <vt:lpwstr>89f5e3db-f55d-4b5f-8c87-17a8eaeffe4d</vt:lpwstr>
  </property>
</Properties>
</file>